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C257" w14:textId="77777777" w:rsidR="00AD417E" w:rsidRPr="007A1EA0" w:rsidRDefault="00AD417E" w:rsidP="00612B93">
      <w:pPr>
        <w:spacing w:after="0"/>
        <w:rPr>
          <w:rFonts w:cstheme="minorHAnsi"/>
        </w:rPr>
      </w:pPr>
    </w:p>
    <w:p w14:paraId="273CE243" w14:textId="251DFB0D" w:rsidR="00F57166" w:rsidRPr="007A1EA0" w:rsidRDefault="00AD417E" w:rsidP="00F57166">
      <w:pPr>
        <w:pStyle w:val="Sansinterligne"/>
        <w:rPr>
          <w:rFonts w:cstheme="minorHAnsi"/>
        </w:rPr>
      </w:pPr>
      <w:r w:rsidRPr="007A1EA0">
        <w:rPr>
          <w:rFonts w:cstheme="minorHAnsi"/>
        </w:rPr>
        <w:tab/>
      </w:r>
      <w:r w:rsidRPr="007A1EA0">
        <w:rPr>
          <w:rFonts w:cstheme="minorHAnsi"/>
        </w:rPr>
        <w:tab/>
      </w:r>
      <w:r w:rsidRPr="007A1EA0">
        <w:rPr>
          <w:rFonts w:cstheme="minorHAnsi"/>
        </w:rPr>
        <w:tab/>
      </w:r>
    </w:p>
    <w:p w14:paraId="1D8D4793" w14:textId="676DB926" w:rsidR="008323BB" w:rsidRPr="00D0230E" w:rsidRDefault="008323BB" w:rsidP="008323BB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Batang" w:hAnsiTheme="minorHAnsi" w:cstheme="minorHAnsi"/>
          <w:sz w:val="52"/>
          <w:szCs w:val="52"/>
        </w:rPr>
      </w:pPr>
      <w:r w:rsidRPr="00D0230E">
        <w:rPr>
          <w:rFonts w:asciiTheme="minorHAnsi" w:eastAsia="Batang" w:hAnsiTheme="minorHAnsi" w:cstheme="minorHAnsi"/>
          <w:sz w:val="52"/>
          <w:szCs w:val="52"/>
        </w:rPr>
        <w:t>FOURNITURE DE REPAS POUR LE SERVICE DE RESTAURATION SCOLAIRE MUNICIPALE</w:t>
      </w:r>
    </w:p>
    <w:p w14:paraId="096C5B11" w14:textId="1CEE5B77" w:rsidR="008323BB" w:rsidRPr="00D0230E" w:rsidRDefault="008323BB" w:rsidP="008323BB">
      <w:pPr>
        <w:rPr>
          <w:rFonts w:cstheme="minorHAnsi"/>
          <w:sz w:val="52"/>
          <w:szCs w:val="52"/>
        </w:rPr>
      </w:pPr>
    </w:p>
    <w:p w14:paraId="7F37B839" w14:textId="17A3544D" w:rsidR="008323BB" w:rsidRPr="00D0230E" w:rsidRDefault="008323BB" w:rsidP="008323BB">
      <w:pPr>
        <w:rPr>
          <w:rFonts w:cstheme="minorHAnsi"/>
          <w:sz w:val="52"/>
          <w:szCs w:val="52"/>
        </w:rPr>
      </w:pPr>
    </w:p>
    <w:p w14:paraId="6FE5CF88" w14:textId="5E579222" w:rsidR="008323BB" w:rsidRPr="00D0230E" w:rsidRDefault="008323BB" w:rsidP="008323BB">
      <w:pPr>
        <w:rPr>
          <w:rFonts w:cstheme="minorHAnsi"/>
          <w:sz w:val="52"/>
          <w:szCs w:val="52"/>
        </w:rPr>
      </w:pPr>
    </w:p>
    <w:p w14:paraId="608E1AC2" w14:textId="46A580B5" w:rsidR="008323BB" w:rsidRPr="00D0230E" w:rsidRDefault="008323BB" w:rsidP="008323BB">
      <w:pPr>
        <w:rPr>
          <w:rFonts w:cstheme="minorHAnsi"/>
          <w:sz w:val="52"/>
          <w:szCs w:val="52"/>
        </w:rPr>
      </w:pPr>
    </w:p>
    <w:p w14:paraId="5BAE2840" w14:textId="543F4CFA" w:rsidR="008323BB" w:rsidRPr="00D0230E" w:rsidRDefault="008323BB" w:rsidP="008323BB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52"/>
          <w:szCs w:val="52"/>
        </w:rPr>
      </w:pPr>
      <w:r w:rsidRPr="00D0230E">
        <w:rPr>
          <w:rFonts w:asciiTheme="minorHAnsi" w:hAnsiTheme="minorHAnsi" w:cstheme="minorHAnsi"/>
          <w:sz w:val="52"/>
          <w:szCs w:val="52"/>
        </w:rPr>
        <w:t>DOSSIER DE CONSULTATION DES ENTREPRISES</w:t>
      </w:r>
    </w:p>
    <w:p w14:paraId="06117081" w14:textId="0437A065" w:rsidR="008323BB" w:rsidRPr="00D0230E" w:rsidRDefault="008323BB" w:rsidP="008323BB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52"/>
          <w:szCs w:val="52"/>
        </w:rPr>
      </w:pPr>
      <w:r w:rsidRPr="00D0230E">
        <w:rPr>
          <w:rFonts w:asciiTheme="minorHAnsi" w:hAnsiTheme="minorHAnsi" w:cstheme="minorHAnsi"/>
          <w:sz w:val="52"/>
          <w:szCs w:val="52"/>
        </w:rPr>
        <w:t>REGLEMENT DE LA CONSULTATION (R.C)</w:t>
      </w:r>
    </w:p>
    <w:p w14:paraId="32D01196" w14:textId="1B78FE92" w:rsidR="00430590" w:rsidRPr="007A1EA0" w:rsidRDefault="00430590" w:rsidP="00673AEF">
      <w:pPr>
        <w:spacing w:after="100" w:afterAutospacing="1" w:line="240" w:lineRule="auto"/>
        <w:jc w:val="both"/>
        <w:rPr>
          <w:rFonts w:cstheme="minorHAnsi"/>
        </w:rPr>
      </w:pPr>
    </w:p>
    <w:p w14:paraId="32B0C01D" w14:textId="73CD64C3" w:rsidR="008B1703" w:rsidRPr="007A1EA0" w:rsidRDefault="008B1703" w:rsidP="00673AEF">
      <w:pPr>
        <w:spacing w:after="100" w:afterAutospacing="1" w:line="240" w:lineRule="auto"/>
        <w:jc w:val="both"/>
        <w:rPr>
          <w:rFonts w:cstheme="minorHAnsi"/>
        </w:rPr>
      </w:pPr>
      <w:r w:rsidRPr="007A1EA0">
        <w:rPr>
          <w:rFonts w:cstheme="minorHAnsi"/>
        </w:rPr>
        <w:t>Marché A Procédure Adapté (MAPA)</w:t>
      </w:r>
    </w:p>
    <w:p w14:paraId="5E216683" w14:textId="368B73BF" w:rsidR="00D703C2" w:rsidRPr="007A1EA0" w:rsidRDefault="00D703C2" w:rsidP="00D703C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MARCHE PUBLIC DE FOURNITURES ET SERVICES</w:t>
      </w:r>
    </w:p>
    <w:p w14:paraId="4266883B" w14:textId="77777777" w:rsidR="00D703C2" w:rsidRPr="007A1EA0" w:rsidRDefault="00D703C2" w:rsidP="00D703C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MAIRIE DE COUTEVROULT</w:t>
      </w:r>
    </w:p>
    <w:p w14:paraId="728514B3" w14:textId="77777777" w:rsidR="00D703C2" w:rsidRPr="007A1EA0" w:rsidRDefault="00D703C2" w:rsidP="00D703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A1EA0">
        <w:rPr>
          <w:rFonts w:cstheme="minorHAnsi"/>
          <w:color w:val="000000"/>
        </w:rPr>
        <w:t>15 rue de la Brosse</w:t>
      </w:r>
    </w:p>
    <w:p w14:paraId="76780BFD" w14:textId="77777777" w:rsidR="00D703C2" w:rsidRPr="007A1EA0" w:rsidRDefault="00D703C2" w:rsidP="00D703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A1EA0">
        <w:rPr>
          <w:rFonts w:cstheme="minorHAnsi"/>
          <w:color w:val="000000"/>
        </w:rPr>
        <w:t>77580 COUTEVROULT</w:t>
      </w:r>
    </w:p>
    <w:p w14:paraId="7670D794" w14:textId="77777777" w:rsidR="00D703C2" w:rsidRPr="007A1EA0" w:rsidRDefault="00D703C2" w:rsidP="00D703C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A1EA0">
        <w:rPr>
          <w:rFonts w:cstheme="minorHAnsi"/>
          <w:color w:val="000000"/>
        </w:rPr>
        <w:t>Tel : 01 60 04 53 63</w:t>
      </w:r>
    </w:p>
    <w:p w14:paraId="43CA32D7" w14:textId="77777777" w:rsidR="00D703C2" w:rsidRPr="007A1EA0" w:rsidRDefault="00D703C2" w:rsidP="00D703C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4472C5"/>
        </w:rPr>
      </w:pPr>
      <w:r w:rsidRPr="007A1EA0">
        <w:rPr>
          <w:rFonts w:cstheme="minorHAnsi"/>
          <w:bCs/>
          <w:color w:val="4472C5"/>
        </w:rPr>
        <w:t>Date limite de remise des offres :</w:t>
      </w:r>
    </w:p>
    <w:p w14:paraId="3F0D380D" w14:textId="3F6786BE" w:rsidR="00D703C2" w:rsidRPr="007A1EA0" w:rsidRDefault="00A221FC" w:rsidP="00D703C2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4472C5"/>
        </w:rPr>
      </w:pPr>
      <w:r>
        <w:rPr>
          <w:rFonts w:cstheme="minorHAnsi"/>
          <w:bCs/>
          <w:color w:val="4472C5"/>
        </w:rPr>
        <w:t xml:space="preserve">Le </w:t>
      </w:r>
      <w:r w:rsidR="00EF17AC">
        <w:rPr>
          <w:rFonts w:cstheme="minorHAnsi"/>
          <w:bCs/>
          <w:color w:val="4472C5"/>
        </w:rPr>
        <w:t>5 janvier 2026</w:t>
      </w:r>
    </w:p>
    <w:p w14:paraId="03CF5248" w14:textId="439445FC" w:rsidR="008B1703" w:rsidRPr="007A1EA0" w:rsidRDefault="008B1703" w:rsidP="00673AEF">
      <w:pPr>
        <w:spacing w:after="100" w:afterAutospacing="1" w:line="240" w:lineRule="auto"/>
        <w:jc w:val="both"/>
        <w:rPr>
          <w:rFonts w:cstheme="minorHAnsi"/>
        </w:rPr>
      </w:pPr>
    </w:p>
    <w:p w14:paraId="2A4DA65F" w14:textId="7FF44B79" w:rsidR="008B1703" w:rsidRPr="007A1EA0" w:rsidRDefault="008B1703" w:rsidP="00673AEF">
      <w:pPr>
        <w:spacing w:after="100" w:afterAutospacing="1" w:line="240" w:lineRule="auto"/>
        <w:jc w:val="both"/>
        <w:rPr>
          <w:rFonts w:cstheme="minorHAnsi"/>
        </w:rPr>
      </w:pPr>
    </w:p>
    <w:p w14:paraId="47EB5DE6" w14:textId="04D73B5C" w:rsidR="0019451E" w:rsidRDefault="0019451E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21489509" w14:textId="77777777" w:rsidR="0019451E" w:rsidRDefault="0019451E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6B73A2BE" w14:textId="77777777" w:rsidR="0019451E" w:rsidRDefault="0019451E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1C60959B" w14:textId="77777777" w:rsidR="00D0230E" w:rsidRDefault="00D0230E" w:rsidP="0019451E">
      <w:pPr>
        <w:pStyle w:val="Titre2"/>
        <w:jc w:val="center"/>
      </w:pPr>
    </w:p>
    <w:p w14:paraId="1A4E1624" w14:textId="500CF6B0" w:rsidR="007A1EA0" w:rsidRDefault="007A1EA0" w:rsidP="0019451E">
      <w:pPr>
        <w:pStyle w:val="Titre2"/>
        <w:jc w:val="center"/>
      </w:pPr>
      <w:r w:rsidRPr="007A1EA0">
        <w:t>SOMMAIRE</w:t>
      </w:r>
    </w:p>
    <w:p w14:paraId="43A0DFAE" w14:textId="0DB1FC0B" w:rsidR="0019451E" w:rsidRDefault="0019451E" w:rsidP="0019451E"/>
    <w:p w14:paraId="001EDFB5" w14:textId="77777777" w:rsidR="0019451E" w:rsidRPr="0019451E" w:rsidRDefault="0019451E" w:rsidP="0019451E"/>
    <w:p w14:paraId="40B4301B" w14:textId="4415059A" w:rsid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ARTICLE 1 – Objet de la consultation </w:t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  <w:t>3</w:t>
      </w:r>
    </w:p>
    <w:p w14:paraId="249A344D" w14:textId="77777777" w:rsidR="0019451E" w:rsidRPr="007A1EA0" w:rsidRDefault="0019451E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5BA64B28" w14:textId="5E2E002D" w:rsid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ARTICLE 2 - Conditions de la consultation </w:t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  <w:t>3</w:t>
      </w:r>
    </w:p>
    <w:p w14:paraId="6F48753D" w14:textId="77777777" w:rsidR="0019451E" w:rsidRPr="007A1EA0" w:rsidRDefault="0019451E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159E2516" w14:textId="0D7BA243" w:rsidR="007A1EA0" w:rsidRP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2.1. Etendue et mode de la consultation </w:t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  <w:t>3</w:t>
      </w:r>
    </w:p>
    <w:p w14:paraId="6F017184" w14:textId="3033AA9A" w:rsidR="007A1EA0" w:rsidRP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2.2. Nature de l'attributaire </w:t>
      </w:r>
    </w:p>
    <w:p w14:paraId="256CBB75" w14:textId="05DDCDBB" w:rsidR="007A1EA0" w:rsidRP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2.3. Complément à apporter au cahier des clauses particulières (CCP) </w:t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  <w:t>3</w:t>
      </w:r>
    </w:p>
    <w:p w14:paraId="57603D90" w14:textId="598A977B" w:rsidR="007A1EA0" w:rsidRP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2.4. Mode de règlement </w:t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  <w:t>4</w:t>
      </w:r>
    </w:p>
    <w:p w14:paraId="222690C9" w14:textId="362ADFF4" w:rsidR="007A1EA0" w:rsidRP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2.5. Modifications de détail au dossier de consultation </w:t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  <w:t>4</w:t>
      </w:r>
    </w:p>
    <w:p w14:paraId="3C8D2FD5" w14:textId="1F3163BA" w:rsidR="007A1EA0" w:rsidRP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2.6. Variantes </w:t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  <w:t>4</w:t>
      </w:r>
    </w:p>
    <w:p w14:paraId="0F70DCCB" w14:textId="58F4ED84" w:rsidR="007A1EA0" w:rsidRP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2.7. Délai de validité des offres </w:t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  <w:t>4</w:t>
      </w:r>
    </w:p>
    <w:p w14:paraId="77D30620" w14:textId="72CA7714" w:rsidR="007A1EA0" w:rsidRP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2.8. Garanties particulières : Assurance-Sécurité-Surveillance </w:t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  <w:t>4</w:t>
      </w:r>
    </w:p>
    <w:p w14:paraId="759EE42C" w14:textId="1673B978" w:rsid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2.9. Monnaie et langue </w:t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  <w:t>4</w:t>
      </w:r>
    </w:p>
    <w:p w14:paraId="61251C2C" w14:textId="77777777" w:rsidR="0019451E" w:rsidRPr="007A1EA0" w:rsidRDefault="0019451E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6BA45136" w14:textId="7A2487AF" w:rsid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ARTIC</w:t>
      </w:r>
      <w:r>
        <w:rPr>
          <w:rFonts w:cstheme="minorHAnsi"/>
          <w:bCs/>
          <w:color w:val="000000"/>
        </w:rPr>
        <w:t xml:space="preserve">LE 3 - Présentation des offres </w:t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  <w:t>5</w:t>
      </w:r>
    </w:p>
    <w:p w14:paraId="682FA704" w14:textId="77777777" w:rsidR="0019451E" w:rsidRPr="007A1EA0" w:rsidRDefault="0019451E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19CC6DBF" w14:textId="4AA8147C" w:rsidR="007A1EA0" w:rsidRP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3.1 - D</w:t>
      </w:r>
      <w:r>
        <w:rPr>
          <w:rFonts w:cstheme="minorHAnsi"/>
          <w:bCs/>
          <w:color w:val="000000"/>
        </w:rPr>
        <w:t xml:space="preserve">ocuments fournis aux candidats </w:t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  <w:t>5</w:t>
      </w:r>
    </w:p>
    <w:p w14:paraId="529AE5DE" w14:textId="238529AD" w:rsid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3.2. Composition de l'offr</w:t>
      </w:r>
      <w:r>
        <w:rPr>
          <w:rFonts w:cstheme="minorHAnsi"/>
          <w:bCs/>
          <w:color w:val="000000"/>
        </w:rPr>
        <w:t xml:space="preserve">e à remettre par les candidats </w:t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  <w:t>5</w:t>
      </w:r>
    </w:p>
    <w:p w14:paraId="03EA079A" w14:textId="77777777" w:rsidR="0019451E" w:rsidRPr="007A1EA0" w:rsidRDefault="0019451E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1B71594E" w14:textId="31EB6F8E" w:rsid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ARTICLE 4 - Jugement et classement des offres </w:t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  <w:t>6</w:t>
      </w:r>
    </w:p>
    <w:p w14:paraId="5920AFF3" w14:textId="77777777" w:rsidR="0019451E" w:rsidRPr="007A1EA0" w:rsidRDefault="0019451E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667BCF23" w14:textId="6119FB48" w:rsidR="007A1EA0" w:rsidRP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4.1. Exa</w:t>
      </w:r>
      <w:r>
        <w:rPr>
          <w:rFonts w:cstheme="minorHAnsi"/>
          <w:bCs/>
          <w:color w:val="000000"/>
        </w:rPr>
        <w:t xml:space="preserve">men des offres et négociations </w:t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  <w:t>6</w:t>
      </w:r>
    </w:p>
    <w:p w14:paraId="36C66EB2" w14:textId="3D2CD1B8" w:rsid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4.2 Critères et pondération </w:t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  <w:t>6</w:t>
      </w:r>
    </w:p>
    <w:p w14:paraId="79F0FFCC" w14:textId="77777777" w:rsidR="0019451E" w:rsidRPr="007A1EA0" w:rsidRDefault="0019451E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75917B9A" w14:textId="3C70089B" w:rsid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ARTICLE 5 - Conditions d</w:t>
      </w:r>
      <w:r>
        <w:rPr>
          <w:rFonts w:cstheme="minorHAnsi"/>
          <w:bCs/>
          <w:color w:val="000000"/>
        </w:rPr>
        <w:t xml:space="preserve">'envoi et de remise des offres </w:t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  <w:t>8</w:t>
      </w:r>
    </w:p>
    <w:p w14:paraId="5E4D61A3" w14:textId="77777777" w:rsidR="0019451E" w:rsidRPr="007A1EA0" w:rsidRDefault="0019451E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693FB416" w14:textId="31BB77FC" w:rsid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ARTICLE 6 - </w:t>
      </w:r>
      <w:r>
        <w:rPr>
          <w:rFonts w:cstheme="minorHAnsi"/>
          <w:bCs/>
          <w:color w:val="000000"/>
        </w:rPr>
        <w:t xml:space="preserve">Renseignements complémentaires </w:t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  <w:t>9</w:t>
      </w:r>
    </w:p>
    <w:p w14:paraId="0C1CEC45" w14:textId="7577FDE9" w:rsidR="0019451E" w:rsidRPr="007A1EA0" w:rsidRDefault="007C3094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ab/>
      </w:r>
    </w:p>
    <w:p w14:paraId="6FB63CD6" w14:textId="7D8704A3" w:rsidR="00D703C2" w:rsidRP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AR</w:t>
      </w:r>
      <w:r>
        <w:rPr>
          <w:rFonts w:cstheme="minorHAnsi"/>
          <w:bCs/>
          <w:color w:val="000000"/>
        </w:rPr>
        <w:t xml:space="preserve">TICLE 7 - Procédure de recours </w:t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</w:r>
      <w:r w:rsidR="007C3094">
        <w:rPr>
          <w:rFonts w:cstheme="minorHAnsi"/>
          <w:bCs/>
          <w:color w:val="000000"/>
        </w:rPr>
        <w:tab/>
        <w:t>9</w:t>
      </w:r>
    </w:p>
    <w:p w14:paraId="1AD5965F" w14:textId="1B2888C0" w:rsid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7D12E3D8" w14:textId="58BBDB37" w:rsid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361C74E0" w14:textId="3115FCED" w:rsid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672875A9" w14:textId="1636CC35" w:rsid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4F44D1BD" w14:textId="1E2F1A40" w:rsid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0EAF2D93" w14:textId="37AF55CA" w:rsid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0B488624" w14:textId="784EC80D" w:rsid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015D84AD" w14:textId="7BB78E53" w:rsid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4BDC102C" w14:textId="54653D54" w:rsid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2C676E45" w14:textId="11E85FEF" w:rsidR="007A1EA0" w:rsidRP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3DADE788" w14:textId="77777777" w:rsid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0E259A64" w14:textId="77777777" w:rsidR="007A1EA0" w:rsidRDefault="007A1EA0" w:rsidP="007A1E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14:paraId="7B79AFDD" w14:textId="5398208D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7A1EA0">
        <w:rPr>
          <w:rFonts w:cstheme="minorHAnsi"/>
          <w:b/>
          <w:bCs/>
          <w:color w:val="000000"/>
        </w:rPr>
        <w:t>Personne publique</w:t>
      </w:r>
    </w:p>
    <w:p w14:paraId="30B3D36F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065CB8E9" w14:textId="2F75504B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Commune de </w:t>
      </w:r>
      <w:r>
        <w:rPr>
          <w:rFonts w:cstheme="minorHAnsi"/>
          <w:bCs/>
          <w:color w:val="000000"/>
        </w:rPr>
        <w:t xml:space="preserve">COUTEVROULT </w:t>
      </w:r>
    </w:p>
    <w:p w14:paraId="4296085D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E2E6D6E" w14:textId="10CBBDB1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7A1EA0">
        <w:rPr>
          <w:rFonts w:cstheme="minorHAnsi"/>
          <w:b/>
          <w:bCs/>
          <w:color w:val="000000"/>
        </w:rPr>
        <w:t>Personne Responsable du Marché</w:t>
      </w:r>
    </w:p>
    <w:p w14:paraId="7338E3F9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4628E3EF" w14:textId="03814D3F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Monsieur le Maire : Jean- Jacques PREVOST</w:t>
      </w:r>
    </w:p>
    <w:p w14:paraId="127D0D42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9BD32E6" w14:textId="62724643" w:rsidR="007A1EA0" w:rsidRPr="00216CBA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16CBA">
        <w:rPr>
          <w:rFonts w:cstheme="minorHAnsi"/>
          <w:b/>
          <w:bCs/>
          <w:color w:val="000000"/>
        </w:rPr>
        <w:t>Objet de la consultation</w:t>
      </w:r>
    </w:p>
    <w:p w14:paraId="54FE5566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6D9C28F" w14:textId="456EB1D2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Préparation, fourniture et livraison de repas en liaison </w:t>
      </w:r>
      <w:r w:rsidR="007E7E7A">
        <w:rPr>
          <w:rFonts w:cstheme="minorHAnsi"/>
          <w:bCs/>
          <w:color w:val="000000"/>
        </w:rPr>
        <w:t>froide</w:t>
      </w:r>
      <w:r>
        <w:rPr>
          <w:rFonts w:cstheme="minorHAnsi"/>
          <w:bCs/>
          <w:color w:val="000000"/>
        </w:rPr>
        <w:t xml:space="preserve"> pour la restauration scolaire </w:t>
      </w:r>
      <w:r w:rsidRPr="007A1EA0">
        <w:rPr>
          <w:rFonts w:cstheme="minorHAnsi"/>
          <w:bCs/>
          <w:color w:val="000000"/>
        </w:rPr>
        <w:t xml:space="preserve">de la commune de </w:t>
      </w:r>
      <w:r>
        <w:rPr>
          <w:rFonts w:cstheme="minorHAnsi"/>
          <w:bCs/>
          <w:color w:val="000000"/>
        </w:rPr>
        <w:t>COUTEVROULT</w:t>
      </w:r>
      <w:r w:rsidRPr="007A1EA0">
        <w:rPr>
          <w:rFonts w:cstheme="minorHAnsi"/>
          <w:bCs/>
          <w:color w:val="000000"/>
        </w:rPr>
        <w:t xml:space="preserve"> pendant toute l</w:t>
      </w:r>
      <w:r>
        <w:rPr>
          <w:rFonts w:cstheme="minorHAnsi"/>
          <w:bCs/>
          <w:color w:val="000000"/>
        </w:rPr>
        <w:t>'année scolaire, pour le Centre de Loisirs.</w:t>
      </w:r>
    </w:p>
    <w:p w14:paraId="15491FF7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44223B5C" w14:textId="77777777" w:rsidR="00216CBA" w:rsidRPr="007A1EA0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749C155F" w14:textId="704C15A1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16CBA">
        <w:rPr>
          <w:rFonts w:cstheme="minorHAnsi"/>
          <w:b/>
          <w:bCs/>
          <w:color w:val="000000"/>
        </w:rPr>
        <w:t>Remise des offres</w:t>
      </w:r>
    </w:p>
    <w:p w14:paraId="31E6C031" w14:textId="77777777" w:rsidR="00216CBA" w:rsidRPr="00216CBA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22ECC2BE" w14:textId="7836E779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2F5F0B">
        <w:rPr>
          <w:rFonts w:cstheme="minorHAnsi"/>
          <w:bCs/>
          <w:color w:val="000000"/>
        </w:rPr>
        <w:t xml:space="preserve">Date limite de réception : le </w:t>
      </w:r>
      <w:r w:rsidR="00EF17AC">
        <w:rPr>
          <w:rFonts w:cstheme="minorHAnsi"/>
          <w:bCs/>
          <w:color w:val="000000"/>
        </w:rPr>
        <w:t>lundi 5 janvier 2026 à midi</w:t>
      </w:r>
    </w:p>
    <w:p w14:paraId="3B93E7E8" w14:textId="77777777" w:rsidR="00216CBA" w:rsidRPr="007A1EA0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6FF7B5C8" w14:textId="77777777" w:rsidR="007A1EA0" w:rsidRPr="00216CBA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16CBA">
        <w:rPr>
          <w:rFonts w:cstheme="minorHAnsi"/>
          <w:b/>
          <w:bCs/>
          <w:color w:val="000000"/>
        </w:rPr>
        <w:t>ARTICLE 1 – Objet de la consultation</w:t>
      </w:r>
    </w:p>
    <w:p w14:paraId="0D05B3CB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La présente consultation concerne :</w:t>
      </w:r>
    </w:p>
    <w:p w14:paraId="46FD0AD3" w14:textId="3097CE1A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- La préparation, fourniture des repas en cantine centrale e</w:t>
      </w:r>
      <w:r w:rsidR="00216CBA">
        <w:rPr>
          <w:rFonts w:cstheme="minorHAnsi"/>
          <w:bCs/>
          <w:color w:val="000000"/>
        </w:rPr>
        <w:t xml:space="preserve">t livraison de repas en liaison </w:t>
      </w:r>
      <w:r w:rsidRPr="007A1EA0">
        <w:rPr>
          <w:rFonts w:cstheme="minorHAnsi"/>
          <w:bCs/>
          <w:color w:val="000000"/>
        </w:rPr>
        <w:t>chaude pendant toute l'année scolaire pour les restaur</w:t>
      </w:r>
      <w:r w:rsidR="00216CBA">
        <w:rPr>
          <w:rFonts w:cstheme="minorHAnsi"/>
          <w:bCs/>
          <w:color w:val="000000"/>
        </w:rPr>
        <w:t>ants scolaires de la commune de COUTEVROULT</w:t>
      </w:r>
      <w:r w:rsidRPr="007A1EA0">
        <w:rPr>
          <w:rFonts w:cstheme="minorHAnsi"/>
          <w:bCs/>
          <w:color w:val="000000"/>
        </w:rPr>
        <w:t xml:space="preserve"> </w:t>
      </w:r>
      <w:r w:rsidR="00216CBA">
        <w:rPr>
          <w:rFonts w:cstheme="minorHAnsi"/>
          <w:bCs/>
          <w:color w:val="000000"/>
        </w:rPr>
        <w:t xml:space="preserve">soit une cantine  pour l’école Pierre FALKE rue de la Brosse </w:t>
      </w:r>
    </w:p>
    <w:p w14:paraId="291969EE" w14:textId="1DCE5765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- La préparation, fourniture des repas en cantine centrale pour le Centre de Loisirs</w:t>
      </w:r>
    </w:p>
    <w:p w14:paraId="0FFB8434" w14:textId="77777777" w:rsidR="00216CBA" w:rsidRPr="007A1EA0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56BAEB7B" w14:textId="06B54561" w:rsidR="002F5F0B" w:rsidRPr="007A1EA0" w:rsidRDefault="007A1EA0" w:rsidP="002F5F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A titre indicatif, les prestations commenceront </w:t>
      </w:r>
      <w:r w:rsidRPr="002F5F0B">
        <w:rPr>
          <w:rFonts w:cstheme="minorHAnsi"/>
          <w:bCs/>
          <w:color w:val="000000"/>
        </w:rPr>
        <w:t xml:space="preserve">le </w:t>
      </w:r>
      <w:r w:rsidR="003C7744">
        <w:rPr>
          <w:rFonts w:cstheme="minorHAnsi"/>
          <w:bCs/>
          <w:color w:val="000000"/>
        </w:rPr>
        <w:t>26</w:t>
      </w:r>
      <w:r w:rsidR="00EF17AC">
        <w:rPr>
          <w:rFonts w:cstheme="minorHAnsi"/>
          <w:bCs/>
          <w:color w:val="000000"/>
        </w:rPr>
        <w:t xml:space="preserve"> janvier 2026</w:t>
      </w:r>
      <w:r w:rsidR="002F5F0B" w:rsidRPr="002F5F0B">
        <w:rPr>
          <w:rFonts w:cstheme="minorHAnsi"/>
          <w:bCs/>
          <w:color w:val="000000"/>
        </w:rPr>
        <w:t xml:space="preserve"> et se termineront le </w:t>
      </w:r>
      <w:r w:rsidR="006D42C6">
        <w:rPr>
          <w:rFonts w:cstheme="minorHAnsi"/>
          <w:bCs/>
          <w:color w:val="000000"/>
        </w:rPr>
        <w:t>30 septembre 2026</w:t>
      </w:r>
    </w:p>
    <w:p w14:paraId="25275EE6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Forme du Marché : marché formalisé en M.A.P.A. en vertu de l’Article R 2123-1(3°) du Code</w:t>
      </w:r>
    </w:p>
    <w:p w14:paraId="72705E37" w14:textId="18388DA8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de la Commande Publique.</w:t>
      </w:r>
    </w:p>
    <w:p w14:paraId="4C9F14C9" w14:textId="0DED4A0D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0937E111" w14:textId="77777777" w:rsidR="007A1EA0" w:rsidRPr="00216CBA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16CBA">
        <w:rPr>
          <w:rFonts w:cstheme="minorHAnsi"/>
          <w:b/>
          <w:bCs/>
          <w:color w:val="000000"/>
        </w:rPr>
        <w:t>ARTICLE 2 - Conditions de la consultation</w:t>
      </w:r>
    </w:p>
    <w:p w14:paraId="3FC1F42F" w14:textId="77777777" w:rsidR="007A1EA0" w:rsidRPr="00216CBA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  <w:r w:rsidRPr="00216CBA">
        <w:rPr>
          <w:rFonts w:cstheme="minorHAnsi"/>
          <w:bCs/>
          <w:i/>
          <w:color w:val="000000"/>
        </w:rPr>
        <w:t>2.1 - Etendue et mode de la consultation</w:t>
      </w:r>
    </w:p>
    <w:p w14:paraId="0EC192F5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 présent marché est soumis aux dispositions de l’Article R 2123-1(3°) du Code de la</w:t>
      </w:r>
    </w:p>
    <w:p w14:paraId="332F795A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Commande Publique.</w:t>
      </w:r>
    </w:p>
    <w:p w14:paraId="3F4F3BF3" w14:textId="77777777" w:rsidR="007A1EA0" w:rsidRPr="00216CBA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  <w:r w:rsidRPr="00216CBA">
        <w:rPr>
          <w:rFonts w:cstheme="minorHAnsi"/>
          <w:bCs/>
          <w:i/>
          <w:color w:val="000000"/>
        </w:rPr>
        <w:t>2.2. Nature de l'attributaire</w:t>
      </w:r>
    </w:p>
    <w:p w14:paraId="5DBBB357" w14:textId="00F7DF9D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 marché sera conclu avec un prestataire unique.</w:t>
      </w:r>
    </w:p>
    <w:p w14:paraId="404A3ABD" w14:textId="77777777" w:rsidR="00216CBA" w:rsidRPr="007A1EA0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05A6931B" w14:textId="128CDFD5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Il est interdit au titulaire de céder ou sous-traiter tout ou </w:t>
      </w:r>
      <w:r w:rsidR="00216CBA">
        <w:rPr>
          <w:rFonts w:cstheme="minorHAnsi"/>
          <w:bCs/>
          <w:color w:val="000000"/>
        </w:rPr>
        <w:t xml:space="preserve">partie sans y être expressément </w:t>
      </w:r>
      <w:r w:rsidRPr="007A1EA0">
        <w:rPr>
          <w:rFonts w:cstheme="minorHAnsi"/>
          <w:bCs/>
          <w:color w:val="000000"/>
        </w:rPr>
        <w:t>autorisé par décision de la collectivité.</w:t>
      </w:r>
    </w:p>
    <w:p w14:paraId="23184D3E" w14:textId="77777777" w:rsidR="00216CBA" w:rsidRPr="007A1EA0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0245224D" w14:textId="4173B171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En tout état de cause, il reste solidairement responsable </w:t>
      </w:r>
      <w:r w:rsidR="00216CBA">
        <w:rPr>
          <w:rFonts w:cstheme="minorHAnsi"/>
          <w:bCs/>
          <w:color w:val="000000"/>
        </w:rPr>
        <w:t xml:space="preserve">avec le sous-traitant envers la </w:t>
      </w:r>
      <w:r w:rsidRPr="007A1EA0">
        <w:rPr>
          <w:rFonts w:cstheme="minorHAnsi"/>
          <w:bCs/>
          <w:color w:val="000000"/>
        </w:rPr>
        <w:t>collectivité du parfait accomplissement de toutes les clauses et conditions du présent marché.</w:t>
      </w:r>
    </w:p>
    <w:p w14:paraId="0E6B0556" w14:textId="77777777" w:rsidR="00216CBA" w:rsidRPr="007A1EA0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3C8426A4" w14:textId="29698C3E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 candidat devra impérativement se référencer aux dispositio</w:t>
      </w:r>
      <w:r w:rsidR="00216CBA">
        <w:rPr>
          <w:rFonts w:cstheme="minorHAnsi"/>
          <w:bCs/>
          <w:color w:val="000000"/>
        </w:rPr>
        <w:t xml:space="preserve">ns législatives, réglementaires </w:t>
      </w:r>
      <w:r w:rsidRPr="007A1EA0">
        <w:rPr>
          <w:rFonts w:cstheme="minorHAnsi"/>
          <w:bCs/>
          <w:color w:val="000000"/>
        </w:rPr>
        <w:t>ou administratives applicables au domaine de la restauration collective en milieu scolaire.</w:t>
      </w:r>
    </w:p>
    <w:p w14:paraId="34CB3EA4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 candidat indiquera les noms et qualifications professionnelles des membres du personnel</w:t>
      </w:r>
    </w:p>
    <w:p w14:paraId="742EE3FB" w14:textId="5135FD4A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lastRenderedPageBreak/>
        <w:t>chargé de l’exécution du marché.</w:t>
      </w:r>
    </w:p>
    <w:p w14:paraId="1F42E6C3" w14:textId="77777777" w:rsidR="00216CBA" w:rsidRPr="007A1EA0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45ECFC2F" w14:textId="649B8960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216CBA">
        <w:rPr>
          <w:rFonts w:cstheme="minorHAnsi"/>
          <w:bCs/>
          <w:i/>
          <w:color w:val="000000"/>
        </w:rPr>
        <w:t>2.3. Complément à apporter au cahier des clauses particulières (</w:t>
      </w:r>
      <w:r w:rsidRPr="007A1EA0">
        <w:rPr>
          <w:rFonts w:cstheme="minorHAnsi"/>
          <w:bCs/>
          <w:color w:val="000000"/>
        </w:rPr>
        <w:t>CCP)</w:t>
      </w:r>
    </w:p>
    <w:p w14:paraId="3DF20D1B" w14:textId="77777777" w:rsidR="00216CBA" w:rsidRPr="007A1EA0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340BC80B" w14:textId="592076BA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Les candidats n'ont pas à apporter de complément au CCP.</w:t>
      </w:r>
      <w:r w:rsidR="00216CBA">
        <w:rPr>
          <w:rFonts w:cstheme="minorHAnsi"/>
          <w:bCs/>
          <w:color w:val="000000"/>
        </w:rPr>
        <w:t xml:space="preserve"> Chaque candidat doit présenter </w:t>
      </w:r>
      <w:r w:rsidRPr="007A1EA0">
        <w:rPr>
          <w:rFonts w:cstheme="minorHAnsi"/>
          <w:bCs/>
          <w:color w:val="000000"/>
        </w:rPr>
        <w:t>une proposition entièrement conforme au dossier de consultation. Toute prop</w:t>
      </w:r>
      <w:r w:rsidR="00216CBA">
        <w:rPr>
          <w:rFonts w:cstheme="minorHAnsi"/>
          <w:bCs/>
          <w:color w:val="000000"/>
        </w:rPr>
        <w:t xml:space="preserve">osition non </w:t>
      </w:r>
      <w:r w:rsidRPr="007A1EA0">
        <w:rPr>
          <w:rFonts w:cstheme="minorHAnsi"/>
          <w:bCs/>
          <w:color w:val="000000"/>
        </w:rPr>
        <w:t>conforme sera rejetée.</w:t>
      </w:r>
    </w:p>
    <w:p w14:paraId="4D77B1C9" w14:textId="77777777" w:rsidR="00216CBA" w:rsidRPr="007A1EA0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43060C56" w14:textId="03EC3B4C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  <w:r w:rsidRPr="00216CBA">
        <w:rPr>
          <w:rFonts w:cstheme="minorHAnsi"/>
          <w:bCs/>
          <w:i/>
          <w:color w:val="000000"/>
        </w:rPr>
        <w:t>2.4. Mode de règlement</w:t>
      </w:r>
    </w:p>
    <w:p w14:paraId="18AB8CD5" w14:textId="77777777" w:rsidR="00216CBA" w:rsidRPr="00216CBA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</w:p>
    <w:p w14:paraId="0E2A1376" w14:textId="55413B1B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 mode de règlement choisi par le maître d'ouvrage est le paie</w:t>
      </w:r>
      <w:r w:rsidR="00216CBA">
        <w:rPr>
          <w:rFonts w:cstheme="minorHAnsi"/>
          <w:bCs/>
          <w:color w:val="000000"/>
        </w:rPr>
        <w:t xml:space="preserve">ment par virement administratif </w:t>
      </w:r>
      <w:r w:rsidRPr="007A1EA0">
        <w:rPr>
          <w:rFonts w:cstheme="minorHAnsi"/>
          <w:bCs/>
          <w:color w:val="000000"/>
        </w:rPr>
        <w:t>selon la réglementation en vigueur. Les sommes dues au(x) t</w:t>
      </w:r>
      <w:r w:rsidR="00216CBA">
        <w:rPr>
          <w:rFonts w:cstheme="minorHAnsi"/>
          <w:bCs/>
          <w:color w:val="000000"/>
        </w:rPr>
        <w:t xml:space="preserve">itulaire(s), seront payées dans </w:t>
      </w:r>
      <w:r w:rsidRPr="007A1EA0">
        <w:rPr>
          <w:rFonts w:cstheme="minorHAnsi"/>
          <w:bCs/>
          <w:color w:val="000000"/>
        </w:rPr>
        <w:t>un délai global de 30 jours à compter de la date de récepti</w:t>
      </w:r>
      <w:r w:rsidR="00216CBA">
        <w:rPr>
          <w:rFonts w:cstheme="minorHAnsi"/>
          <w:bCs/>
          <w:color w:val="000000"/>
        </w:rPr>
        <w:t xml:space="preserve">on des factures ou des demandes </w:t>
      </w:r>
      <w:r w:rsidRPr="007A1EA0">
        <w:rPr>
          <w:rFonts w:cstheme="minorHAnsi"/>
          <w:bCs/>
          <w:color w:val="000000"/>
        </w:rPr>
        <w:t>de paiement équivalentes, sous réserve que le Maitre d’œuv</w:t>
      </w:r>
      <w:r w:rsidR="00216CBA">
        <w:rPr>
          <w:rFonts w:cstheme="minorHAnsi"/>
          <w:bCs/>
          <w:color w:val="000000"/>
        </w:rPr>
        <w:t xml:space="preserve">re en approuve les quantités et </w:t>
      </w:r>
      <w:r w:rsidRPr="007A1EA0">
        <w:rPr>
          <w:rFonts w:cstheme="minorHAnsi"/>
          <w:bCs/>
          <w:color w:val="000000"/>
        </w:rPr>
        <w:t>le montant.</w:t>
      </w:r>
    </w:p>
    <w:p w14:paraId="42855373" w14:textId="77777777" w:rsidR="00216CBA" w:rsidRPr="007A1EA0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7F395374" w14:textId="0FDF380D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  <w:r w:rsidRPr="00216CBA">
        <w:rPr>
          <w:rFonts w:cstheme="minorHAnsi"/>
          <w:bCs/>
          <w:i/>
          <w:color w:val="000000"/>
        </w:rPr>
        <w:t>2.5. Modifications de détail au dossier de consultation</w:t>
      </w:r>
    </w:p>
    <w:p w14:paraId="0175F2F7" w14:textId="77777777" w:rsidR="00216CBA" w:rsidRPr="00216CBA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</w:p>
    <w:p w14:paraId="4D4CDE0F" w14:textId="65F26D19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 maître d'ouvrage se réserve le droit d'apporter au plus tard</w:t>
      </w:r>
      <w:r w:rsidR="00216CBA">
        <w:rPr>
          <w:rFonts w:cstheme="minorHAnsi"/>
          <w:bCs/>
          <w:color w:val="000000"/>
        </w:rPr>
        <w:t xml:space="preserve">, 10 jours avant la date limite </w:t>
      </w:r>
      <w:r w:rsidRPr="007A1EA0">
        <w:rPr>
          <w:rFonts w:cstheme="minorHAnsi"/>
          <w:bCs/>
          <w:color w:val="000000"/>
        </w:rPr>
        <w:t xml:space="preserve">fixée pour la réception des offres, des modifications de détail </w:t>
      </w:r>
      <w:r w:rsidR="00216CBA">
        <w:rPr>
          <w:rFonts w:cstheme="minorHAnsi"/>
          <w:bCs/>
          <w:color w:val="000000"/>
        </w:rPr>
        <w:t xml:space="preserve">au dossier de consultation. Les </w:t>
      </w:r>
      <w:r w:rsidRPr="007A1EA0">
        <w:rPr>
          <w:rFonts w:cstheme="minorHAnsi"/>
          <w:bCs/>
          <w:color w:val="000000"/>
        </w:rPr>
        <w:t xml:space="preserve">candidats devront alors répondre sur la base du dossier modifié sans pouvoir élever </w:t>
      </w:r>
      <w:r w:rsidR="00216CBA">
        <w:rPr>
          <w:rFonts w:cstheme="minorHAnsi"/>
          <w:bCs/>
          <w:color w:val="000000"/>
        </w:rPr>
        <w:t xml:space="preserve">aucune </w:t>
      </w:r>
      <w:r w:rsidRPr="007A1EA0">
        <w:rPr>
          <w:rFonts w:cstheme="minorHAnsi"/>
          <w:bCs/>
          <w:color w:val="000000"/>
        </w:rPr>
        <w:t>réclamation à ce sujet. Si pendant l'étude du dossier par les co</w:t>
      </w:r>
      <w:r w:rsidR="00216CBA">
        <w:rPr>
          <w:rFonts w:cstheme="minorHAnsi"/>
          <w:bCs/>
          <w:color w:val="000000"/>
        </w:rPr>
        <w:t xml:space="preserve">ncurrents, la date limite fixée </w:t>
      </w:r>
      <w:r w:rsidRPr="007A1EA0">
        <w:rPr>
          <w:rFonts w:cstheme="minorHAnsi"/>
          <w:bCs/>
          <w:color w:val="000000"/>
        </w:rPr>
        <w:t>pour la remise des offres est reportée, la disposition précédent</w:t>
      </w:r>
      <w:r w:rsidR="00216CBA">
        <w:rPr>
          <w:rFonts w:cstheme="minorHAnsi"/>
          <w:bCs/>
          <w:color w:val="000000"/>
        </w:rPr>
        <w:t xml:space="preserve">e est applicable en fonction de </w:t>
      </w:r>
      <w:r w:rsidRPr="007A1EA0">
        <w:rPr>
          <w:rFonts w:cstheme="minorHAnsi"/>
          <w:bCs/>
          <w:color w:val="000000"/>
        </w:rPr>
        <w:t>la nouvelle date.</w:t>
      </w:r>
    </w:p>
    <w:p w14:paraId="20504182" w14:textId="77777777" w:rsidR="00216CBA" w:rsidRPr="007A1EA0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8EFCD27" w14:textId="06C4FACA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  <w:r w:rsidRPr="00216CBA">
        <w:rPr>
          <w:rFonts w:cstheme="minorHAnsi"/>
          <w:bCs/>
          <w:i/>
          <w:color w:val="000000"/>
        </w:rPr>
        <w:t>2.6. Variantes</w:t>
      </w:r>
    </w:p>
    <w:p w14:paraId="4DD5D160" w14:textId="77777777" w:rsidR="00216CBA" w:rsidRPr="00216CBA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</w:p>
    <w:p w14:paraId="429E13A1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Les candidats doivent présenter une offre entièrement conforme au dossier de consultation.</w:t>
      </w:r>
    </w:p>
    <w:p w14:paraId="4563E5C0" w14:textId="34B38D2A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Le marché </w:t>
      </w:r>
      <w:r w:rsidR="00216CBA">
        <w:rPr>
          <w:rFonts w:cstheme="minorHAnsi"/>
          <w:bCs/>
          <w:color w:val="000000"/>
        </w:rPr>
        <w:t>ne comporte pas de variante</w:t>
      </w:r>
    </w:p>
    <w:p w14:paraId="673B575A" w14:textId="77777777" w:rsidR="00216CBA" w:rsidRPr="007A1EA0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471BD8F" w14:textId="1DBC78E7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  <w:r w:rsidRPr="00216CBA">
        <w:rPr>
          <w:rFonts w:cstheme="minorHAnsi"/>
          <w:bCs/>
          <w:i/>
          <w:color w:val="000000"/>
        </w:rPr>
        <w:t>2.7. Délai de validité des offres</w:t>
      </w:r>
    </w:p>
    <w:p w14:paraId="6276E891" w14:textId="77777777" w:rsidR="00216CBA" w:rsidRPr="00216CBA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</w:p>
    <w:p w14:paraId="23FCBE35" w14:textId="4DA067D7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 délai de validité des offres est fixé à 120 jours. Il court à compt</w:t>
      </w:r>
      <w:r w:rsidR="00216CBA">
        <w:rPr>
          <w:rFonts w:cstheme="minorHAnsi"/>
          <w:bCs/>
          <w:color w:val="000000"/>
        </w:rPr>
        <w:t xml:space="preserve">er de la date limite fixée pour </w:t>
      </w:r>
      <w:r w:rsidRPr="007A1EA0">
        <w:rPr>
          <w:rFonts w:cstheme="minorHAnsi"/>
          <w:bCs/>
          <w:color w:val="000000"/>
        </w:rPr>
        <w:t>la remise des offres.</w:t>
      </w:r>
    </w:p>
    <w:p w14:paraId="7A84DC35" w14:textId="1ECE4058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EF6AB41" w14:textId="69873C18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  <w:r w:rsidRPr="00216CBA">
        <w:rPr>
          <w:rFonts w:cstheme="minorHAnsi"/>
          <w:bCs/>
          <w:i/>
          <w:color w:val="000000"/>
        </w:rPr>
        <w:t>2.8. Garanties particulières : Assurance-Sécurité-Surveillance</w:t>
      </w:r>
    </w:p>
    <w:p w14:paraId="0419538B" w14:textId="77777777" w:rsidR="00216CBA" w:rsidRPr="00216CBA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</w:p>
    <w:p w14:paraId="77975065" w14:textId="3253507E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 titulaire devra, à chaque instant, respecter toute la réglementatio</w:t>
      </w:r>
      <w:r w:rsidR="00216CBA">
        <w:rPr>
          <w:rFonts w:cstheme="minorHAnsi"/>
          <w:bCs/>
          <w:color w:val="000000"/>
        </w:rPr>
        <w:t xml:space="preserve">n en vigueur relative à la </w:t>
      </w:r>
      <w:r w:rsidRPr="007A1EA0">
        <w:rPr>
          <w:rFonts w:cstheme="minorHAnsi"/>
          <w:bCs/>
          <w:color w:val="000000"/>
        </w:rPr>
        <w:t>restauration collective et notamment la liaison chaude. Les règles concernant les garanties</w:t>
      </w:r>
      <w:r w:rsidR="00216CBA">
        <w:rPr>
          <w:rFonts w:cstheme="minorHAnsi"/>
          <w:bCs/>
          <w:color w:val="000000"/>
        </w:rPr>
        <w:t xml:space="preserve"> </w:t>
      </w:r>
      <w:r w:rsidRPr="007A1EA0">
        <w:rPr>
          <w:rFonts w:cstheme="minorHAnsi"/>
          <w:bCs/>
          <w:color w:val="000000"/>
        </w:rPr>
        <w:t>particulières -Assurance-Sécurité-Surveillance- sont fixées dans le CCTP.</w:t>
      </w:r>
    </w:p>
    <w:p w14:paraId="4143B822" w14:textId="77777777" w:rsidR="00216CBA" w:rsidRPr="007A1EA0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02F43A9E" w14:textId="5DFBB955" w:rsidR="007A1EA0" w:rsidRPr="00216CBA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  <w:r w:rsidRPr="00216CBA">
        <w:rPr>
          <w:rFonts w:cstheme="minorHAnsi"/>
          <w:bCs/>
          <w:i/>
          <w:color w:val="000000"/>
        </w:rPr>
        <w:t>2.9. Monnaie et langue</w:t>
      </w:r>
    </w:p>
    <w:p w14:paraId="1D01C893" w14:textId="77777777" w:rsidR="00216CBA" w:rsidRPr="007A1EA0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6E795FB1" w14:textId="687868F2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Les offres sont présentées en euros et rédigées en langue française.</w:t>
      </w:r>
    </w:p>
    <w:p w14:paraId="6E5EF8EF" w14:textId="4C80CDAD" w:rsidR="00216CBA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045F5293" w14:textId="57EF7405" w:rsidR="00216CBA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842BA83" w14:textId="77777777" w:rsidR="00216CBA" w:rsidRPr="007A1EA0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4158EE28" w14:textId="52F9ED22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216CBA">
        <w:rPr>
          <w:rFonts w:cstheme="minorHAnsi"/>
          <w:b/>
          <w:bCs/>
          <w:color w:val="000000"/>
        </w:rPr>
        <w:t>ARTICLE 3 - Présentation des offres</w:t>
      </w:r>
    </w:p>
    <w:p w14:paraId="590B1E5F" w14:textId="77777777" w:rsidR="00216CBA" w:rsidRPr="00216CBA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0BB551D2" w14:textId="05D5EF78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  <w:r w:rsidRPr="00216CBA">
        <w:rPr>
          <w:rFonts w:cstheme="minorHAnsi"/>
          <w:bCs/>
          <w:i/>
          <w:color w:val="000000"/>
        </w:rPr>
        <w:lastRenderedPageBreak/>
        <w:t>3.1 - Documents fournis aux candidats</w:t>
      </w:r>
    </w:p>
    <w:p w14:paraId="7B508729" w14:textId="77777777" w:rsidR="00216CBA" w:rsidRPr="00216CBA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</w:p>
    <w:p w14:paraId="46109E3C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 présent dossier de consultation est constitué par :</w:t>
      </w:r>
    </w:p>
    <w:p w14:paraId="06933F70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• Le Présent Règlement de la Consultation (RC)</w:t>
      </w:r>
    </w:p>
    <w:p w14:paraId="59F564C8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• Le cahier des Clauses Techniques Particulières (CCTP)</w:t>
      </w:r>
    </w:p>
    <w:p w14:paraId="3628363B" w14:textId="1A99075E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• Les bordereaux de prix unitaires</w:t>
      </w:r>
    </w:p>
    <w:p w14:paraId="7BBC675A" w14:textId="77777777" w:rsidR="00216CBA" w:rsidRPr="007A1EA0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64FFEAA" w14:textId="6267FDB6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 Dossier de Consultation des Entreprises, sous forme</w:t>
      </w:r>
      <w:r w:rsidR="00216CBA">
        <w:rPr>
          <w:rFonts w:cstheme="minorHAnsi"/>
          <w:bCs/>
          <w:color w:val="000000"/>
        </w:rPr>
        <w:t xml:space="preserve"> de fichiers au format PDF, est </w:t>
      </w:r>
      <w:r w:rsidRPr="007A1EA0">
        <w:rPr>
          <w:rFonts w:cstheme="minorHAnsi"/>
          <w:bCs/>
          <w:color w:val="000000"/>
        </w:rPr>
        <w:t>téléchargeable par les candidats sur la plateforme de</w:t>
      </w:r>
      <w:r w:rsidR="00216CBA">
        <w:rPr>
          <w:rFonts w:cstheme="minorHAnsi"/>
          <w:bCs/>
          <w:color w:val="000000"/>
        </w:rPr>
        <w:t xml:space="preserve"> dématérialisation : www.achat-</w:t>
      </w:r>
      <w:r w:rsidRPr="007A1EA0">
        <w:rPr>
          <w:rFonts w:cstheme="minorHAnsi"/>
          <w:bCs/>
          <w:color w:val="000000"/>
        </w:rPr>
        <w:t>national.safetender.com</w:t>
      </w:r>
    </w:p>
    <w:p w14:paraId="4A01BEEE" w14:textId="747031A3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 DCE est à imprimer par les candidats. Aucune demande</w:t>
      </w:r>
      <w:r w:rsidR="00216CBA">
        <w:rPr>
          <w:rFonts w:cstheme="minorHAnsi"/>
          <w:bCs/>
          <w:color w:val="000000"/>
        </w:rPr>
        <w:t xml:space="preserve"> d’envoi du dossier sur support </w:t>
      </w:r>
      <w:r w:rsidRPr="007A1EA0">
        <w:rPr>
          <w:rFonts w:cstheme="minorHAnsi"/>
          <w:bCs/>
          <w:color w:val="000000"/>
        </w:rPr>
        <w:t>physique n’est autorisée.</w:t>
      </w:r>
    </w:p>
    <w:p w14:paraId="0F2D2A3C" w14:textId="77777777" w:rsidR="00216CBA" w:rsidRPr="007A1EA0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40069B16" w14:textId="4CDA68A8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  <w:r w:rsidRPr="00216CBA">
        <w:rPr>
          <w:rFonts w:cstheme="minorHAnsi"/>
          <w:bCs/>
          <w:i/>
          <w:color w:val="000000"/>
        </w:rPr>
        <w:t>3.2. Composition de l'offre à remettre par les candidats</w:t>
      </w:r>
    </w:p>
    <w:p w14:paraId="71EDC713" w14:textId="7D5E7081" w:rsidR="0037078E" w:rsidRDefault="0037078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</w:p>
    <w:p w14:paraId="2B0F0032" w14:textId="79875767" w:rsidR="005058CE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</w:p>
    <w:p w14:paraId="689D13AE" w14:textId="77777777" w:rsidR="005058CE" w:rsidRPr="007A1EA0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La proposition à remettre par le candidat contiendra les pièces suivantes :</w:t>
      </w:r>
    </w:p>
    <w:p w14:paraId="420C987C" w14:textId="6D08F9BD" w:rsidR="0037078E" w:rsidRDefault="0037078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5098"/>
        <w:gridCol w:w="1183"/>
        <w:gridCol w:w="1268"/>
        <w:gridCol w:w="1660"/>
      </w:tblGrid>
      <w:tr w:rsidR="0037078E" w14:paraId="4A49B841" w14:textId="77777777" w:rsidTr="005058CE">
        <w:trPr>
          <w:trHeight w:val="759"/>
        </w:trPr>
        <w:tc>
          <w:tcPr>
            <w:tcW w:w="5098" w:type="dxa"/>
          </w:tcPr>
          <w:p w14:paraId="50BA66AE" w14:textId="3B657C35" w:rsidR="0037078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color w:val="000000"/>
              </w:rPr>
            </w:pPr>
            <w:r>
              <w:rPr>
                <w:rFonts w:cstheme="minorHAnsi"/>
                <w:bCs/>
                <w:i/>
                <w:color w:val="000000"/>
              </w:rPr>
              <w:t>Pièces</w:t>
            </w:r>
          </w:p>
        </w:tc>
        <w:tc>
          <w:tcPr>
            <w:tcW w:w="1183" w:type="dxa"/>
          </w:tcPr>
          <w:p w14:paraId="1A0205EB" w14:textId="69C625BE" w:rsidR="0037078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color w:val="000000"/>
              </w:rPr>
            </w:pPr>
            <w:r>
              <w:rPr>
                <w:rFonts w:cstheme="minorHAnsi"/>
                <w:bCs/>
                <w:i/>
                <w:color w:val="000000"/>
              </w:rPr>
              <w:t>Au moment de la candidature</w:t>
            </w:r>
          </w:p>
        </w:tc>
        <w:tc>
          <w:tcPr>
            <w:tcW w:w="1268" w:type="dxa"/>
          </w:tcPr>
          <w:p w14:paraId="5AA9C0A4" w14:textId="2E5EF7DC" w:rsidR="0037078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color w:val="000000"/>
              </w:rPr>
            </w:pPr>
            <w:r>
              <w:rPr>
                <w:rFonts w:cstheme="minorHAnsi"/>
                <w:bCs/>
                <w:i/>
                <w:color w:val="000000"/>
              </w:rPr>
              <w:t>Au moment de l’attribution</w:t>
            </w:r>
          </w:p>
        </w:tc>
        <w:tc>
          <w:tcPr>
            <w:tcW w:w="1660" w:type="dxa"/>
          </w:tcPr>
          <w:p w14:paraId="45430AED" w14:textId="77777777" w:rsidR="0037078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color w:val="000000"/>
              </w:rPr>
            </w:pPr>
            <w:r>
              <w:rPr>
                <w:rFonts w:cstheme="minorHAnsi"/>
                <w:bCs/>
                <w:i/>
                <w:color w:val="000000"/>
              </w:rPr>
              <w:t>Décret n°2016-360</w:t>
            </w:r>
          </w:p>
          <w:p w14:paraId="3D503D3A" w14:textId="0145CFB4" w:rsidR="0037078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color w:val="000000"/>
              </w:rPr>
            </w:pPr>
            <w:r>
              <w:rPr>
                <w:rFonts w:cstheme="minorHAnsi"/>
                <w:bCs/>
                <w:i/>
                <w:color w:val="000000"/>
              </w:rPr>
              <w:t>Du 25 mars 2016 art 44</w:t>
            </w:r>
          </w:p>
        </w:tc>
      </w:tr>
      <w:tr w:rsidR="0037078E" w14:paraId="1C3FC84A" w14:textId="77777777" w:rsidTr="005058CE">
        <w:tc>
          <w:tcPr>
            <w:tcW w:w="5098" w:type="dxa"/>
          </w:tcPr>
          <w:p w14:paraId="092E7BD2" w14:textId="275083E8" w:rsidR="0037078E" w:rsidRPr="005058C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5058CE">
              <w:rPr>
                <w:rFonts w:asciiTheme="minorHAnsi" w:hAnsiTheme="minorHAnsi" w:cstheme="minorHAnsi"/>
                <w:bCs/>
                <w:color w:val="000000"/>
              </w:rPr>
              <w:t xml:space="preserve">Déclaration du groupement DC1 ou toutes autres pièces équivalentes justificatives. Dans le cas </w:t>
            </w:r>
            <w:r w:rsidR="005058CE" w:rsidRPr="005058CE">
              <w:rPr>
                <w:rFonts w:asciiTheme="minorHAnsi" w:hAnsiTheme="minorHAnsi" w:cstheme="minorHAnsi"/>
                <w:bCs/>
                <w:color w:val="000000"/>
              </w:rPr>
              <w:t>où</w:t>
            </w:r>
            <w:r w:rsidRPr="005058CE">
              <w:rPr>
                <w:rFonts w:asciiTheme="minorHAnsi" w:hAnsiTheme="minorHAnsi" w:cstheme="minorHAnsi"/>
                <w:bCs/>
                <w:color w:val="000000"/>
              </w:rPr>
              <w:t xml:space="preserve"> les candidats présenteraient sous la forme d’un groupement, chaque membre du groupement fournira les pièces décrites ci-après à l’exception de la lettre de candidature (DC4) remplie en un seul exemplaire par tous les membres du groupement</w:t>
            </w:r>
          </w:p>
        </w:tc>
        <w:tc>
          <w:tcPr>
            <w:tcW w:w="1183" w:type="dxa"/>
          </w:tcPr>
          <w:p w14:paraId="5750D179" w14:textId="4D12A780" w:rsidR="0037078E" w:rsidRPr="005058C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5058CE">
              <w:rPr>
                <w:rFonts w:asciiTheme="minorHAnsi" w:hAnsiTheme="minorHAnsi" w:cstheme="minorHAnsi"/>
                <w:bCs/>
                <w:color w:val="000000"/>
              </w:rPr>
              <w:t xml:space="preserve"> oui</w:t>
            </w:r>
          </w:p>
        </w:tc>
        <w:tc>
          <w:tcPr>
            <w:tcW w:w="1268" w:type="dxa"/>
          </w:tcPr>
          <w:p w14:paraId="5280F2E9" w14:textId="77777777" w:rsidR="0037078E" w:rsidRPr="005058C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0" w:type="dxa"/>
          </w:tcPr>
          <w:p w14:paraId="37F3BA53" w14:textId="77777777" w:rsidR="0037078E" w:rsidRPr="0037078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/>
              </w:rPr>
            </w:pPr>
          </w:p>
        </w:tc>
      </w:tr>
      <w:tr w:rsidR="0037078E" w14:paraId="0DA14AA2" w14:textId="77777777" w:rsidTr="005058CE">
        <w:tc>
          <w:tcPr>
            <w:tcW w:w="5098" w:type="dxa"/>
          </w:tcPr>
          <w:p w14:paraId="55F372F5" w14:textId="027692B9" w:rsidR="0037078E" w:rsidRPr="005058C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5058CE">
              <w:rPr>
                <w:rFonts w:asciiTheme="minorHAnsi" w:hAnsiTheme="minorHAnsi" w:cstheme="minorHAnsi"/>
                <w:bCs/>
                <w:color w:val="000000"/>
              </w:rPr>
              <w:t>Déclaration du DC2 ou toutes autres pièces équivalentes justificatives</w:t>
            </w:r>
          </w:p>
        </w:tc>
        <w:tc>
          <w:tcPr>
            <w:tcW w:w="1183" w:type="dxa"/>
          </w:tcPr>
          <w:p w14:paraId="778E040E" w14:textId="592FD435" w:rsidR="0037078E" w:rsidRPr="005058C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5058CE">
              <w:rPr>
                <w:rFonts w:asciiTheme="minorHAnsi" w:hAnsiTheme="minorHAnsi" w:cstheme="minorHAnsi"/>
                <w:bCs/>
                <w:color w:val="000000"/>
              </w:rPr>
              <w:t>oui</w:t>
            </w:r>
          </w:p>
        </w:tc>
        <w:tc>
          <w:tcPr>
            <w:tcW w:w="1268" w:type="dxa"/>
          </w:tcPr>
          <w:p w14:paraId="1E3E923C" w14:textId="77777777" w:rsidR="0037078E" w:rsidRPr="005058C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0" w:type="dxa"/>
          </w:tcPr>
          <w:p w14:paraId="617CD918" w14:textId="77777777" w:rsidR="0037078E" w:rsidRPr="0037078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/>
              </w:rPr>
            </w:pPr>
          </w:p>
        </w:tc>
      </w:tr>
      <w:tr w:rsidR="0037078E" w14:paraId="535AA335" w14:textId="77777777" w:rsidTr="005058CE">
        <w:tc>
          <w:tcPr>
            <w:tcW w:w="5098" w:type="dxa"/>
          </w:tcPr>
          <w:p w14:paraId="7FB8E551" w14:textId="168C86B9" w:rsidR="0037078E" w:rsidRPr="005058C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5058CE">
              <w:rPr>
                <w:rFonts w:asciiTheme="minorHAnsi" w:hAnsiTheme="minorHAnsi" w:cstheme="minorHAnsi"/>
                <w:bCs/>
                <w:color w:val="000000"/>
              </w:rPr>
              <w:t>Si le candidat est en redressement judiciaire, la copie du ou des jugements prononcés à cet effet prouvant que le candidat est autorisé à poursuivre son activité au-delà de la durée du marché</w:t>
            </w:r>
          </w:p>
        </w:tc>
        <w:tc>
          <w:tcPr>
            <w:tcW w:w="1183" w:type="dxa"/>
          </w:tcPr>
          <w:p w14:paraId="734244AA" w14:textId="7495EE9B" w:rsidR="0037078E" w:rsidRPr="005058C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5058CE">
              <w:rPr>
                <w:rFonts w:asciiTheme="minorHAnsi" w:hAnsiTheme="minorHAnsi" w:cstheme="minorHAnsi"/>
                <w:bCs/>
                <w:color w:val="000000"/>
              </w:rPr>
              <w:t>oui</w:t>
            </w:r>
          </w:p>
        </w:tc>
        <w:tc>
          <w:tcPr>
            <w:tcW w:w="1268" w:type="dxa"/>
          </w:tcPr>
          <w:p w14:paraId="505131DB" w14:textId="77777777" w:rsidR="0037078E" w:rsidRPr="005058C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0" w:type="dxa"/>
          </w:tcPr>
          <w:p w14:paraId="55F28163" w14:textId="77777777" w:rsidR="0037078E" w:rsidRPr="0037078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/>
              </w:rPr>
            </w:pPr>
          </w:p>
        </w:tc>
      </w:tr>
      <w:tr w:rsidR="0037078E" w14:paraId="190BD3BF" w14:textId="77777777" w:rsidTr="005058CE">
        <w:tc>
          <w:tcPr>
            <w:tcW w:w="5098" w:type="dxa"/>
          </w:tcPr>
          <w:p w14:paraId="573405D7" w14:textId="6DCF4F09" w:rsidR="0037078E" w:rsidRPr="005058C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5058CE">
              <w:rPr>
                <w:rFonts w:asciiTheme="minorHAnsi" w:hAnsiTheme="minorHAnsi" w:cstheme="minorHAnsi"/>
                <w:bCs/>
                <w:color w:val="000000"/>
              </w:rPr>
              <w:t>La copie des pouvoirs donnant délégation de signature au signataire des documents</w:t>
            </w:r>
          </w:p>
        </w:tc>
        <w:tc>
          <w:tcPr>
            <w:tcW w:w="1183" w:type="dxa"/>
          </w:tcPr>
          <w:p w14:paraId="01D0DDEE" w14:textId="284A4BAD" w:rsidR="0037078E" w:rsidRPr="005058C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5058CE">
              <w:rPr>
                <w:rFonts w:asciiTheme="minorHAnsi" w:hAnsiTheme="minorHAnsi" w:cstheme="minorHAnsi"/>
                <w:bCs/>
                <w:color w:val="000000"/>
              </w:rPr>
              <w:t>oui</w:t>
            </w:r>
          </w:p>
        </w:tc>
        <w:tc>
          <w:tcPr>
            <w:tcW w:w="1268" w:type="dxa"/>
          </w:tcPr>
          <w:p w14:paraId="44DE9840" w14:textId="77777777" w:rsidR="0037078E" w:rsidRPr="005058C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0" w:type="dxa"/>
          </w:tcPr>
          <w:p w14:paraId="2A83B036" w14:textId="77777777" w:rsidR="0037078E" w:rsidRPr="0037078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/>
              </w:rPr>
            </w:pPr>
          </w:p>
        </w:tc>
      </w:tr>
      <w:tr w:rsidR="0037078E" w14:paraId="54E97A18" w14:textId="77777777" w:rsidTr="005058CE">
        <w:tc>
          <w:tcPr>
            <w:tcW w:w="5098" w:type="dxa"/>
          </w:tcPr>
          <w:p w14:paraId="75C70ED7" w14:textId="1A35DF28" w:rsidR="0037078E" w:rsidRPr="005058C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5058CE">
              <w:rPr>
                <w:rFonts w:asciiTheme="minorHAnsi" w:hAnsiTheme="minorHAnsi" w:cstheme="minorHAnsi"/>
                <w:bCs/>
                <w:color w:val="000000"/>
              </w:rPr>
              <w:t>Liste des principaux services effectués au cours des 3 dernières années, en indiquant le montant, la date et le destinataire public ou privé</w:t>
            </w:r>
          </w:p>
        </w:tc>
        <w:tc>
          <w:tcPr>
            <w:tcW w:w="1183" w:type="dxa"/>
          </w:tcPr>
          <w:p w14:paraId="709140BE" w14:textId="672E2438" w:rsidR="0037078E" w:rsidRPr="005058C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5058CE">
              <w:rPr>
                <w:rFonts w:asciiTheme="minorHAnsi" w:hAnsiTheme="minorHAnsi" w:cstheme="minorHAnsi"/>
                <w:bCs/>
                <w:color w:val="000000"/>
              </w:rPr>
              <w:t>oui</w:t>
            </w:r>
          </w:p>
        </w:tc>
        <w:tc>
          <w:tcPr>
            <w:tcW w:w="1268" w:type="dxa"/>
          </w:tcPr>
          <w:p w14:paraId="0F6DB5EF" w14:textId="77777777" w:rsidR="0037078E" w:rsidRPr="005058C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0" w:type="dxa"/>
          </w:tcPr>
          <w:p w14:paraId="7EE93D81" w14:textId="77777777" w:rsidR="0037078E" w:rsidRPr="0037078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/>
              </w:rPr>
            </w:pPr>
          </w:p>
        </w:tc>
      </w:tr>
      <w:tr w:rsidR="0037078E" w14:paraId="02C0DB50" w14:textId="77777777" w:rsidTr="005058CE">
        <w:tc>
          <w:tcPr>
            <w:tcW w:w="5098" w:type="dxa"/>
          </w:tcPr>
          <w:p w14:paraId="1BFDCADB" w14:textId="519E59BD" w:rsidR="0037078E" w:rsidRPr="005058CE" w:rsidRDefault="005058C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5058CE">
              <w:rPr>
                <w:rFonts w:asciiTheme="minorHAnsi" w:hAnsiTheme="minorHAnsi" w:cstheme="minorHAnsi"/>
                <w:bCs/>
                <w:color w:val="000000"/>
              </w:rPr>
              <w:t>En cas de sous-traitance, les éléments mentionnés dans l’ordonnance n°2015-899 du 23 juillet 2015 –art 102</w:t>
            </w:r>
          </w:p>
        </w:tc>
        <w:tc>
          <w:tcPr>
            <w:tcW w:w="1183" w:type="dxa"/>
          </w:tcPr>
          <w:p w14:paraId="725BE8C1" w14:textId="551EE7B5" w:rsidR="0037078E" w:rsidRPr="005058CE" w:rsidRDefault="005058C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5058CE">
              <w:rPr>
                <w:rFonts w:asciiTheme="minorHAnsi" w:hAnsiTheme="minorHAnsi" w:cstheme="minorHAnsi"/>
                <w:bCs/>
                <w:color w:val="000000"/>
              </w:rPr>
              <w:t>oui</w:t>
            </w:r>
          </w:p>
        </w:tc>
        <w:tc>
          <w:tcPr>
            <w:tcW w:w="1268" w:type="dxa"/>
          </w:tcPr>
          <w:p w14:paraId="4AFD32F7" w14:textId="77777777" w:rsidR="0037078E" w:rsidRPr="005058C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660" w:type="dxa"/>
          </w:tcPr>
          <w:p w14:paraId="6E991B7F" w14:textId="77777777" w:rsidR="0037078E" w:rsidRPr="0037078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/>
              </w:rPr>
            </w:pPr>
          </w:p>
        </w:tc>
      </w:tr>
      <w:tr w:rsidR="0037078E" w14:paraId="37C60B06" w14:textId="77777777" w:rsidTr="005058CE">
        <w:tc>
          <w:tcPr>
            <w:tcW w:w="5098" w:type="dxa"/>
          </w:tcPr>
          <w:p w14:paraId="3BAA4F6C" w14:textId="0D3F0DF9" w:rsidR="0037078E" w:rsidRPr="005058CE" w:rsidRDefault="005058C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5058CE">
              <w:rPr>
                <w:rFonts w:asciiTheme="minorHAnsi" w:hAnsiTheme="minorHAnsi" w:cstheme="minorHAnsi"/>
                <w:bCs/>
                <w:color w:val="000000"/>
              </w:rPr>
              <w:t>Attestations fiscales et sociales DC7 – datant de moins de 6 mois – ou URSSAF – moins de 6 mois + liasse fiscale n°3666</w:t>
            </w:r>
          </w:p>
        </w:tc>
        <w:tc>
          <w:tcPr>
            <w:tcW w:w="1183" w:type="dxa"/>
          </w:tcPr>
          <w:p w14:paraId="0FB5C765" w14:textId="77777777" w:rsidR="0037078E" w:rsidRPr="005058C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268" w:type="dxa"/>
          </w:tcPr>
          <w:p w14:paraId="4BAF1A0C" w14:textId="3FADB37A" w:rsidR="0037078E" w:rsidRPr="005058CE" w:rsidRDefault="005058C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5058CE">
              <w:rPr>
                <w:rFonts w:asciiTheme="minorHAnsi" w:hAnsiTheme="minorHAnsi" w:cstheme="minorHAnsi"/>
                <w:bCs/>
                <w:color w:val="000000"/>
              </w:rPr>
              <w:t>oui</w:t>
            </w:r>
          </w:p>
        </w:tc>
        <w:tc>
          <w:tcPr>
            <w:tcW w:w="1660" w:type="dxa"/>
          </w:tcPr>
          <w:p w14:paraId="17872C95" w14:textId="77777777" w:rsidR="0037078E" w:rsidRPr="0037078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/>
              </w:rPr>
            </w:pPr>
          </w:p>
        </w:tc>
      </w:tr>
      <w:tr w:rsidR="0037078E" w14:paraId="38DE124C" w14:textId="77777777" w:rsidTr="005058CE">
        <w:tc>
          <w:tcPr>
            <w:tcW w:w="5098" w:type="dxa"/>
          </w:tcPr>
          <w:p w14:paraId="3838FF3D" w14:textId="2869FA63" w:rsidR="0037078E" w:rsidRPr="005058CE" w:rsidRDefault="005058C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5058CE">
              <w:rPr>
                <w:rFonts w:asciiTheme="minorHAnsi" w:hAnsiTheme="minorHAnsi" w:cstheme="minorHAnsi"/>
                <w:bCs/>
                <w:color w:val="000000"/>
              </w:rPr>
              <w:t>Art. D 8222-5 ou D. 8222-7 et D. 8222-8 du Code du travail. Pièces à produire tous les 6 mois jusqu’à la fin de l’exécution du marché</w:t>
            </w:r>
          </w:p>
        </w:tc>
        <w:tc>
          <w:tcPr>
            <w:tcW w:w="1183" w:type="dxa"/>
          </w:tcPr>
          <w:p w14:paraId="7DA4A1AC" w14:textId="77777777" w:rsidR="0037078E" w:rsidRPr="005058C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268" w:type="dxa"/>
          </w:tcPr>
          <w:p w14:paraId="2FDB2D82" w14:textId="2D36B2F9" w:rsidR="0037078E" w:rsidRPr="005058CE" w:rsidRDefault="005058C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5058CE">
              <w:rPr>
                <w:rFonts w:asciiTheme="minorHAnsi" w:hAnsiTheme="minorHAnsi" w:cstheme="minorHAnsi"/>
                <w:bCs/>
                <w:color w:val="000000"/>
              </w:rPr>
              <w:t>oui</w:t>
            </w:r>
          </w:p>
        </w:tc>
        <w:tc>
          <w:tcPr>
            <w:tcW w:w="1660" w:type="dxa"/>
          </w:tcPr>
          <w:p w14:paraId="066DAEF8" w14:textId="77777777" w:rsidR="0037078E" w:rsidRPr="0037078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/>
              </w:rPr>
            </w:pPr>
          </w:p>
        </w:tc>
      </w:tr>
      <w:tr w:rsidR="0037078E" w14:paraId="735CDEC0" w14:textId="77777777" w:rsidTr="005058CE">
        <w:tc>
          <w:tcPr>
            <w:tcW w:w="5098" w:type="dxa"/>
          </w:tcPr>
          <w:p w14:paraId="29C4D9C3" w14:textId="360A4170" w:rsidR="0037078E" w:rsidRPr="005058CE" w:rsidRDefault="005058C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5058CE">
              <w:rPr>
                <w:rFonts w:asciiTheme="minorHAnsi" w:hAnsiTheme="minorHAnsi" w:cstheme="minorHAnsi"/>
                <w:bCs/>
                <w:color w:val="000000"/>
              </w:rPr>
              <w:t>Attestations d’assurances</w:t>
            </w:r>
          </w:p>
        </w:tc>
        <w:tc>
          <w:tcPr>
            <w:tcW w:w="1183" w:type="dxa"/>
          </w:tcPr>
          <w:p w14:paraId="7FE2CEE0" w14:textId="77777777" w:rsidR="0037078E" w:rsidRPr="005058C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268" w:type="dxa"/>
          </w:tcPr>
          <w:p w14:paraId="3B275AB1" w14:textId="1F072494" w:rsidR="0037078E" w:rsidRPr="005058CE" w:rsidRDefault="005058CE" w:rsidP="001945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5058CE">
              <w:rPr>
                <w:rFonts w:asciiTheme="minorHAnsi" w:hAnsiTheme="minorHAnsi" w:cstheme="minorHAnsi"/>
                <w:bCs/>
                <w:color w:val="000000"/>
              </w:rPr>
              <w:t>oui</w:t>
            </w:r>
          </w:p>
        </w:tc>
        <w:tc>
          <w:tcPr>
            <w:tcW w:w="1660" w:type="dxa"/>
          </w:tcPr>
          <w:p w14:paraId="6FCF00C1" w14:textId="77777777" w:rsidR="0037078E" w:rsidRPr="0037078E" w:rsidRDefault="0037078E" w:rsidP="0019451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/>
              </w:rPr>
            </w:pPr>
          </w:p>
        </w:tc>
      </w:tr>
    </w:tbl>
    <w:p w14:paraId="22A5172C" w14:textId="3276B4B3" w:rsidR="0037078E" w:rsidRDefault="0037078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</w:p>
    <w:p w14:paraId="0EFEF5F8" w14:textId="77777777" w:rsidR="0037078E" w:rsidRDefault="0037078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</w:p>
    <w:p w14:paraId="45E6F15F" w14:textId="77777777" w:rsidR="00216CBA" w:rsidRPr="00216CBA" w:rsidRDefault="00216CBA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</w:p>
    <w:p w14:paraId="4999BB20" w14:textId="7C51972E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lastRenderedPageBreak/>
        <w:t>• L 'acte d'engagement dûment complété et signé,</w:t>
      </w:r>
    </w:p>
    <w:p w14:paraId="6121B293" w14:textId="77777777" w:rsidR="005058CE" w:rsidRPr="007A1EA0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9AC8900" w14:textId="64CC9CC6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• Le Cahier des Clauses Particulières (C.C.P) dûment paraphé et signé</w:t>
      </w:r>
    </w:p>
    <w:p w14:paraId="18A73CF0" w14:textId="77777777" w:rsidR="005058CE" w:rsidRPr="007A1EA0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7A4B00A" w14:textId="220656CD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• Un mémoire justificatif des dispositions que le candidat se propose </w:t>
      </w:r>
      <w:r w:rsidR="005058CE">
        <w:rPr>
          <w:rFonts w:cstheme="minorHAnsi"/>
          <w:bCs/>
          <w:color w:val="000000"/>
        </w:rPr>
        <w:t xml:space="preserve">d'adopter pour l 'exécution des </w:t>
      </w:r>
      <w:r w:rsidRPr="007A1EA0">
        <w:rPr>
          <w:rFonts w:cstheme="minorHAnsi"/>
          <w:bCs/>
          <w:color w:val="000000"/>
        </w:rPr>
        <w:t>prestations afin de juger la valeur technique des offres et comprenant entre autres :</w:t>
      </w:r>
    </w:p>
    <w:p w14:paraId="4ACFB342" w14:textId="77777777" w:rsidR="005058CE" w:rsidRPr="007A1EA0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234AD66" w14:textId="4534D6DF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ascii="Segoe UI Symbol" w:hAnsi="Segoe UI Symbol" w:cs="Segoe UI Symbol"/>
          <w:bCs/>
          <w:color w:val="000000"/>
        </w:rPr>
        <w:t>✓</w:t>
      </w:r>
      <w:r w:rsidRPr="007A1EA0">
        <w:rPr>
          <w:rFonts w:cstheme="minorHAnsi"/>
          <w:bCs/>
          <w:color w:val="000000"/>
        </w:rPr>
        <w:t xml:space="preserve"> Des indications concernant les moyens humains et le descri</w:t>
      </w:r>
      <w:r w:rsidR="005058CE">
        <w:rPr>
          <w:rFonts w:cstheme="minorHAnsi"/>
          <w:bCs/>
          <w:color w:val="000000"/>
        </w:rPr>
        <w:t xml:space="preserve">ptif des matériels susceptibles </w:t>
      </w:r>
      <w:r w:rsidRPr="007A1EA0">
        <w:rPr>
          <w:rFonts w:cstheme="minorHAnsi"/>
          <w:bCs/>
          <w:color w:val="000000"/>
        </w:rPr>
        <w:t>d'être affectés à la réalisation des prestations,</w:t>
      </w:r>
    </w:p>
    <w:p w14:paraId="09ECCEA4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ascii="Segoe UI Symbol" w:hAnsi="Segoe UI Symbol" w:cs="Segoe UI Symbol"/>
          <w:bCs/>
          <w:color w:val="000000"/>
        </w:rPr>
        <w:t>✓</w:t>
      </w:r>
      <w:r w:rsidRPr="007A1EA0">
        <w:rPr>
          <w:rFonts w:cstheme="minorHAnsi"/>
          <w:bCs/>
          <w:color w:val="000000"/>
        </w:rPr>
        <w:t xml:space="preserve"> Les moyens de contrôle mis en place pour s'assurer de la bonne exécution des prestations</w:t>
      </w:r>
    </w:p>
    <w:p w14:paraId="5CC01FFA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- démarche qualité, fiche de suivi et d'exécution, modèle de compte-rendu...</w:t>
      </w:r>
    </w:p>
    <w:p w14:paraId="3E4AD49A" w14:textId="60A5B2C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ascii="Segoe UI Symbol" w:hAnsi="Segoe UI Symbol" w:cs="Segoe UI Symbol"/>
          <w:bCs/>
          <w:color w:val="000000"/>
        </w:rPr>
        <w:t>✓</w:t>
      </w:r>
      <w:r w:rsidRPr="007A1EA0">
        <w:rPr>
          <w:rFonts w:cstheme="minorHAnsi"/>
          <w:bCs/>
          <w:color w:val="000000"/>
        </w:rPr>
        <w:t xml:space="preserve"> Une note indiquant les principales mesures prévues pour a</w:t>
      </w:r>
      <w:r w:rsidR="005058CE">
        <w:rPr>
          <w:rFonts w:cstheme="minorHAnsi"/>
          <w:bCs/>
          <w:color w:val="000000"/>
        </w:rPr>
        <w:t xml:space="preserve">ssurer la sécurité et l'hygiène </w:t>
      </w:r>
      <w:r w:rsidRPr="007A1EA0">
        <w:rPr>
          <w:rFonts w:cstheme="minorHAnsi"/>
          <w:bCs/>
          <w:color w:val="000000"/>
        </w:rPr>
        <w:t>pendant le service,</w:t>
      </w:r>
    </w:p>
    <w:p w14:paraId="201D7885" w14:textId="32E05449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ascii="Segoe UI Symbol" w:hAnsi="Segoe UI Symbol" w:cs="Segoe UI Symbol"/>
          <w:bCs/>
          <w:color w:val="000000"/>
        </w:rPr>
        <w:t>✓</w:t>
      </w:r>
      <w:r w:rsidRPr="007A1EA0">
        <w:rPr>
          <w:rFonts w:cstheme="minorHAnsi"/>
          <w:bCs/>
          <w:color w:val="000000"/>
        </w:rPr>
        <w:t xml:space="preserve"> Les dispositions prises par le Candidat pour assurer la continuité d'un service publi</w:t>
      </w:r>
      <w:r w:rsidR="005058CE">
        <w:rPr>
          <w:rFonts w:cstheme="minorHAnsi"/>
          <w:bCs/>
          <w:color w:val="000000"/>
        </w:rPr>
        <w:t xml:space="preserve">c de </w:t>
      </w:r>
      <w:r w:rsidRPr="007A1EA0">
        <w:rPr>
          <w:rFonts w:cstheme="minorHAnsi"/>
          <w:bCs/>
          <w:color w:val="000000"/>
        </w:rPr>
        <w:t>qualité.</w:t>
      </w:r>
    </w:p>
    <w:p w14:paraId="730D398D" w14:textId="274B789C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ascii="Segoe UI Symbol" w:hAnsi="Segoe UI Symbol" w:cs="Segoe UI Symbol"/>
          <w:bCs/>
          <w:color w:val="000000"/>
        </w:rPr>
        <w:t>✓</w:t>
      </w:r>
      <w:r w:rsidRPr="007A1EA0">
        <w:rPr>
          <w:rFonts w:cstheme="minorHAnsi"/>
          <w:bCs/>
          <w:color w:val="000000"/>
        </w:rPr>
        <w:t xml:space="preserve"> Les dispositions prises par le Candidat pour s’inscri</w:t>
      </w:r>
      <w:r w:rsidR="005058CE">
        <w:rPr>
          <w:rFonts w:cstheme="minorHAnsi"/>
          <w:bCs/>
          <w:color w:val="000000"/>
        </w:rPr>
        <w:t xml:space="preserve">re dans une démarche globale de </w:t>
      </w:r>
      <w:r w:rsidRPr="007A1EA0">
        <w:rPr>
          <w:rFonts w:cstheme="minorHAnsi"/>
          <w:bCs/>
          <w:color w:val="000000"/>
        </w:rPr>
        <w:t>développement durable (lutte contre le gaspillage alim</w:t>
      </w:r>
      <w:r w:rsidR="005058CE">
        <w:rPr>
          <w:rFonts w:cstheme="minorHAnsi"/>
          <w:bCs/>
          <w:color w:val="000000"/>
        </w:rPr>
        <w:t xml:space="preserve">entaire, actions mises en œuvre </w:t>
      </w:r>
      <w:r w:rsidRPr="007A1EA0">
        <w:rPr>
          <w:rFonts w:cstheme="minorHAnsi"/>
          <w:bCs/>
          <w:color w:val="000000"/>
        </w:rPr>
        <w:t>visant au respect de l’environnement, gestion des déchets, limitation des emballages…)</w:t>
      </w:r>
    </w:p>
    <w:p w14:paraId="7E2BCE8E" w14:textId="37F2F0D4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ascii="Segoe UI Symbol" w:hAnsi="Segoe UI Symbol" w:cs="Segoe UI Symbol"/>
          <w:bCs/>
          <w:color w:val="000000"/>
        </w:rPr>
        <w:t>✓</w:t>
      </w:r>
      <w:r w:rsidRPr="007A1EA0">
        <w:rPr>
          <w:rFonts w:cstheme="minorHAnsi"/>
          <w:bCs/>
          <w:color w:val="000000"/>
        </w:rPr>
        <w:t xml:space="preserve"> Le Candidat pourra suggérer dans son mémoire</w:t>
      </w:r>
      <w:r w:rsidR="005058CE">
        <w:rPr>
          <w:rFonts w:cstheme="minorHAnsi"/>
          <w:bCs/>
          <w:color w:val="000000"/>
        </w:rPr>
        <w:t xml:space="preserve"> des évolutions souhaitables de </w:t>
      </w:r>
      <w:r w:rsidRPr="007A1EA0">
        <w:rPr>
          <w:rFonts w:cstheme="minorHAnsi"/>
          <w:bCs/>
          <w:color w:val="000000"/>
        </w:rPr>
        <w:t xml:space="preserve">l’organisation existante et des pistes d'amélioration la prestation objet du marché et les </w:t>
      </w:r>
      <w:r w:rsidR="005058CE">
        <w:rPr>
          <w:rFonts w:cstheme="minorHAnsi"/>
          <w:bCs/>
          <w:color w:val="000000"/>
        </w:rPr>
        <w:t xml:space="preserve">offres </w:t>
      </w:r>
      <w:r w:rsidRPr="007A1EA0">
        <w:rPr>
          <w:rFonts w:cstheme="minorHAnsi"/>
          <w:bCs/>
          <w:color w:val="000000"/>
        </w:rPr>
        <w:t>demeureront cependant conformes au CCP</w:t>
      </w:r>
    </w:p>
    <w:p w14:paraId="71A02787" w14:textId="1D1CCAAA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ascii="Segoe UI Symbol" w:hAnsi="Segoe UI Symbol" w:cs="Segoe UI Symbol"/>
          <w:bCs/>
          <w:color w:val="000000"/>
        </w:rPr>
        <w:t>✓</w:t>
      </w:r>
      <w:r w:rsidRPr="007A1EA0">
        <w:rPr>
          <w:rFonts w:cstheme="minorHAnsi"/>
          <w:bCs/>
          <w:color w:val="000000"/>
        </w:rPr>
        <w:t xml:space="preserve"> Un projet de menu sur deux semaines</w:t>
      </w:r>
    </w:p>
    <w:p w14:paraId="74978D82" w14:textId="77777777" w:rsidR="005058CE" w:rsidRPr="007A1EA0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8194F52" w14:textId="751CA571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• Le règlement de consultation daté et paraphé</w:t>
      </w:r>
    </w:p>
    <w:p w14:paraId="6703CB92" w14:textId="77777777" w:rsidR="005058CE" w:rsidRPr="007A1EA0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D88FEAD" w14:textId="00B75169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L'absence d'une de ces pièces entraîne la non recevabilité de l'off</w:t>
      </w:r>
      <w:r w:rsidR="005058CE">
        <w:rPr>
          <w:rFonts w:cstheme="minorHAnsi"/>
          <w:bCs/>
          <w:color w:val="000000"/>
        </w:rPr>
        <w:t xml:space="preserve">re. « Chaque rubrique est jugée </w:t>
      </w:r>
      <w:r w:rsidRPr="007A1EA0">
        <w:rPr>
          <w:rFonts w:cstheme="minorHAnsi"/>
          <w:bCs/>
          <w:color w:val="000000"/>
        </w:rPr>
        <w:t>indispensable au choix de l'offre pour l'application des critères, confor</w:t>
      </w:r>
      <w:r w:rsidR="005058CE">
        <w:rPr>
          <w:rFonts w:cstheme="minorHAnsi"/>
          <w:bCs/>
          <w:color w:val="000000"/>
        </w:rPr>
        <w:t xml:space="preserve">mément à l'article 4 du présent </w:t>
      </w:r>
      <w:r w:rsidRPr="007A1EA0">
        <w:rPr>
          <w:rFonts w:cstheme="minorHAnsi"/>
          <w:bCs/>
          <w:color w:val="000000"/>
        </w:rPr>
        <w:t>règlement. »</w:t>
      </w:r>
    </w:p>
    <w:p w14:paraId="7B9F026B" w14:textId="2AEEA9AA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Les offres des candidats seront entièrement rédigées en langue française et exprimées en euros.</w:t>
      </w:r>
    </w:p>
    <w:p w14:paraId="20EF965B" w14:textId="2267F25C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08C969F9" w14:textId="77777777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35B4C81E" w14:textId="13BAD49B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5058CE">
        <w:rPr>
          <w:rFonts w:cstheme="minorHAnsi"/>
          <w:b/>
          <w:bCs/>
          <w:color w:val="000000"/>
        </w:rPr>
        <w:t>ARTICLE 4 - Jugement et classement des offres</w:t>
      </w:r>
    </w:p>
    <w:p w14:paraId="017AFF47" w14:textId="77777777" w:rsidR="005058CE" w:rsidRPr="005058CE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736DEF20" w14:textId="669FF1EA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  <w:r w:rsidRPr="005058CE">
        <w:rPr>
          <w:rFonts w:cstheme="minorHAnsi"/>
          <w:bCs/>
          <w:i/>
          <w:color w:val="000000"/>
        </w:rPr>
        <w:t>4.1. Examen des offres et négociations</w:t>
      </w:r>
    </w:p>
    <w:p w14:paraId="21107929" w14:textId="77777777" w:rsidR="005058CE" w:rsidRPr="005058CE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</w:p>
    <w:p w14:paraId="311E760A" w14:textId="65EC149A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La sélection des candidatures et le jugement des offres seron</w:t>
      </w:r>
      <w:r w:rsidR="005058CE">
        <w:rPr>
          <w:rFonts w:cstheme="minorHAnsi"/>
          <w:bCs/>
          <w:color w:val="000000"/>
        </w:rPr>
        <w:t xml:space="preserve">t effectués dans le respect des </w:t>
      </w:r>
      <w:r w:rsidRPr="007A1EA0">
        <w:rPr>
          <w:rFonts w:cstheme="minorHAnsi"/>
          <w:bCs/>
          <w:color w:val="000000"/>
        </w:rPr>
        <w:t>principes fondamentaux de la commande publique.</w:t>
      </w:r>
    </w:p>
    <w:p w14:paraId="262FAA2D" w14:textId="4AC84D4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Le pouvoir adjudicateur éliminera les offres non-conformes à </w:t>
      </w:r>
      <w:r w:rsidR="005058CE">
        <w:rPr>
          <w:rFonts w:cstheme="minorHAnsi"/>
          <w:bCs/>
          <w:color w:val="000000"/>
        </w:rPr>
        <w:t xml:space="preserve">l'objet du marché ou au présent </w:t>
      </w:r>
      <w:r w:rsidRPr="007A1EA0">
        <w:rPr>
          <w:rFonts w:cstheme="minorHAnsi"/>
          <w:bCs/>
          <w:color w:val="000000"/>
        </w:rPr>
        <w:t>règlement de consultation.</w:t>
      </w:r>
    </w:p>
    <w:p w14:paraId="5AF2FDA5" w14:textId="131F6E47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 jugement des offres sera effectué en application de l’a</w:t>
      </w:r>
      <w:r w:rsidR="005058CE">
        <w:rPr>
          <w:rFonts w:cstheme="minorHAnsi"/>
          <w:bCs/>
          <w:color w:val="000000"/>
        </w:rPr>
        <w:t xml:space="preserve">rticle 53 I à III du Code de la </w:t>
      </w:r>
      <w:r w:rsidRPr="007A1EA0">
        <w:rPr>
          <w:rFonts w:cstheme="minorHAnsi"/>
          <w:bCs/>
          <w:color w:val="000000"/>
        </w:rPr>
        <w:t>Commande Publique, selon les critères pondérés suivants :</w:t>
      </w:r>
    </w:p>
    <w:p w14:paraId="37D654FD" w14:textId="77777777" w:rsidR="005058CE" w:rsidRPr="007A1EA0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36F97FC7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- Le prix : 45%</w:t>
      </w:r>
    </w:p>
    <w:p w14:paraId="1CA7D128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- La valeur technique, qualitative et diversité nutritionnelle : 40%</w:t>
      </w:r>
    </w:p>
    <w:p w14:paraId="6D0FB987" w14:textId="3487346B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- Démarche globale de développement durable : 15%</w:t>
      </w:r>
    </w:p>
    <w:p w14:paraId="41F2C3CA" w14:textId="77777777" w:rsidR="005058CE" w:rsidRPr="007A1EA0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0F4D739F" w14:textId="194DEAD6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La personne responsable du marché pourra engager des négociations.</w:t>
      </w:r>
    </w:p>
    <w:p w14:paraId="5D36CE09" w14:textId="77777777" w:rsidR="005058CE" w:rsidRPr="007A1EA0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005C26BE" w14:textId="6F397881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Il est rappelé que les opérateurs économiques pourront être amenés à négocier</w:t>
      </w:r>
      <w:r w:rsidR="005058CE">
        <w:rPr>
          <w:rFonts w:cstheme="minorHAnsi"/>
          <w:bCs/>
          <w:color w:val="000000"/>
        </w:rPr>
        <w:t xml:space="preserve"> et dans ce </w:t>
      </w:r>
      <w:r w:rsidRPr="007A1EA0">
        <w:rPr>
          <w:rFonts w:cstheme="minorHAnsi"/>
          <w:bCs/>
          <w:color w:val="000000"/>
        </w:rPr>
        <w:t>cas, chacun d’entre eux sera convoqué, par mail ou par fax, au</w:t>
      </w:r>
      <w:r w:rsidR="005058CE">
        <w:rPr>
          <w:rFonts w:cstheme="minorHAnsi"/>
          <w:bCs/>
          <w:color w:val="000000"/>
        </w:rPr>
        <w:t xml:space="preserve"> moins 5 jours avant le rendez- </w:t>
      </w:r>
      <w:r w:rsidRPr="007A1EA0">
        <w:rPr>
          <w:rFonts w:cstheme="minorHAnsi"/>
          <w:bCs/>
          <w:color w:val="000000"/>
        </w:rPr>
        <w:t>vous. L’absence à la réunion de négociation ne donnera</w:t>
      </w:r>
      <w:r w:rsidR="005058CE">
        <w:rPr>
          <w:rFonts w:cstheme="minorHAnsi"/>
          <w:bCs/>
          <w:color w:val="000000"/>
        </w:rPr>
        <w:t xml:space="preserve"> pas lieu à un report, sauf cas </w:t>
      </w:r>
      <w:r w:rsidRPr="007A1EA0">
        <w:rPr>
          <w:rFonts w:cstheme="minorHAnsi"/>
          <w:bCs/>
          <w:color w:val="000000"/>
        </w:rPr>
        <w:t>exceptionnel, dûment justifié.</w:t>
      </w:r>
    </w:p>
    <w:p w14:paraId="692F477F" w14:textId="47DD56C1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A l’issue de l’ouverture des plis et après avoir vérifié les mont</w:t>
      </w:r>
      <w:r w:rsidR="005058CE">
        <w:rPr>
          <w:rFonts w:cstheme="minorHAnsi"/>
          <w:bCs/>
          <w:color w:val="000000"/>
        </w:rPr>
        <w:t xml:space="preserve">ants des offres, les opérateurs </w:t>
      </w:r>
      <w:r w:rsidRPr="007A1EA0">
        <w:rPr>
          <w:rFonts w:cstheme="minorHAnsi"/>
          <w:bCs/>
          <w:color w:val="000000"/>
        </w:rPr>
        <w:t>économiques pourront être convoqués (par courrier ou par m</w:t>
      </w:r>
      <w:r w:rsidR="005058CE">
        <w:rPr>
          <w:rFonts w:cstheme="minorHAnsi"/>
          <w:bCs/>
          <w:color w:val="000000"/>
        </w:rPr>
        <w:t xml:space="preserve">ail) dans les meilleurs délais, </w:t>
      </w:r>
      <w:r w:rsidRPr="007A1EA0">
        <w:rPr>
          <w:rFonts w:cstheme="minorHAnsi"/>
          <w:bCs/>
          <w:color w:val="000000"/>
        </w:rPr>
        <w:t>pour participer à une phase de négociation.</w:t>
      </w:r>
    </w:p>
    <w:p w14:paraId="2CFAE7D7" w14:textId="33B822AA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Si tel est le cas, chacun d’entre eux sera convoqué. La </w:t>
      </w:r>
      <w:r w:rsidR="005058CE">
        <w:rPr>
          <w:rFonts w:cstheme="minorHAnsi"/>
          <w:bCs/>
          <w:color w:val="000000"/>
        </w:rPr>
        <w:t xml:space="preserve">négociation n’est toutefois pas </w:t>
      </w:r>
      <w:r w:rsidRPr="007A1EA0">
        <w:rPr>
          <w:rFonts w:cstheme="minorHAnsi"/>
          <w:bCs/>
          <w:color w:val="000000"/>
        </w:rPr>
        <w:t>systématique.</w:t>
      </w:r>
    </w:p>
    <w:p w14:paraId="0F5EDB95" w14:textId="029AD5FA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Une date butoir, à ne pas dépasser pour la remise des </w:t>
      </w:r>
      <w:r w:rsidR="005058CE">
        <w:rPr>
          <w:rFonts w:cstheme="minorHAnsi"/>
          <w:bCs/>
          <w:color w:val="000000"/>
        </w:rPr>
        <w:t xml:space="preserve">offres négociées sera commune à </w:t>
      </w:r>
      <w:r w:rsidRPr="007A1EA0">
        <w:rPr>
          <w:rFonts w:cstheme="minorHAnsi"/>
          <w:bCs/>
          <w:color w:val="000000"/>
        </w:rPr>
        <w:t>chaque candidat et rappelée en phase de négociation.</w:t>
      </w:r>
    </w:p>
    <w:p w14:paraId="2B664392" w14:textId="02BFEF9E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Puis il sera établi une analyse définitive, tenant compte des offr</w:t>
      </w:r>
      <w:r w:rsidR="005058CE">
        <w:rPr>
          <w:rFonts w:cstheme="minorHAnsi"/>
          <w:bCs/>
          <w:color w:val="000000"/>
        </w:rPr>
        <w:t xml:space="preserve">es négociées selon les critères </w:t>
      </w:r>
      <w:r w:rsidRPr="007A1EA0">
        <w:rPr>
          <w:rFonts w:cstheme="minorHAnsi"/>
          <w:bCs/>
          <w:color w:val="000000"/>
        </w:rPr>
        <w:t>définis ci-après, dans le respect des marchés publics et l’égalité de traitement des candidats</w:t>
      </w:r>
    </w:p>
    <w:p w14:paraId="18583F9A" w14:textId="0C8CC5D0" w:rsidR="005058CE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0F8D7AA5" w14:textId="77777777" w:rsidR="005058CE" w:rsidRPr="007A1EA0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0D3B151A" w14:textId="41A6BF01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  <w:r w:rsidRPr="005058CE">
        <w:rPr>
          <w:rFonts w:cstheme="minorHAnsi"/>
          <w:bCs/>
          <w:i/>
          <w:color w:val="000000"/>
        </w:rPr>
        <w:t>4.2 Critères et pondération</w:t>
      </w:r>
    </w:p>
    <w:p w14:paraId="34FA6E41" w14:textId="77777777" w:rsidR="005058CE" w:rsidRPr="005058CE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</w:rPr>
      </w:pPr>
    </w:p>
    <w:p w14:paraId="2EA550DA" w14:textId="06649087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Ce jugement sera effectué</w:t>
      </w:r>
    </w:p>
    <w:p w14:paraId="5B094782" w14:textId="77777777" w:rsidR="005058CE" w:rsidRPr="007A1EA0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71B7CD6" w14:textId="0E093679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u w:val="single"/>
        </w:rPr>
      </w:pPr>
      <w:r w:rsidRPr="005058CE">
        <w:rPr>
          <w:rFonts w:ascii="Segoe UI Symbol" w:hAnsi="Segoe UI Symbol" w:cs="Segoe UI Symbol"/>
          <w:bCs/>
          <w:color w:val="000000"/>
          <w:u w:val="single"/>
        </w:rPr>
        <w:t>➢</w:t>
      </w:r>
      <w:r w:rsidRPr="005058CE">
        <w:rPr>
          <w:rFonts w:cstheme="minorHAnsi"/>
          <w:bCs/>
          <w:color w:val="000000"/>
          <w:u w:val="single"/>
        </w:rPr>
        <w:t xml:space="preserve"> Critère 1. Prix du repas H.T 45%</w:t>
      </w:r>
    </w:p>
    <w:p w14:paraId="127B772F" w14:textId="77777777" w:rsidR="005058CE" w:rsidRPr="005058CE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u w:val="single"/>
        </w:rPr>
      </w:pPr>
    </w:p>
    <w:p w14:paraId="1490D5B7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- Etablir le bordereau de prix dans l’acte d’engagement,</w:t>
      </w:r>
    </w:p>
    <w:p w14:paraId="6F47FB48" w14:textId="2229DEE9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- Valeur des denrées alimentaires dans le prix du repas fourni</w:t>
      </w:r>
      <w:r w:rsidR="005058CE">
        <w:rPr>
          <w:rFonts w:cstheme="minorHAnsi"/>
          <w:bCs/>
          <w:color w:val="000000"/>
        </w:rPr>
        <w:t xml:space="preserve"> (préciser si les produits sont </w:t>
      </w:r>
      <w:r w:rsidRPr="007A1EA0">
        <w:rPr>
          <w:rFonts w:cstheme="minorHAnsi"/>
          <w:bCs/>
          <w:color w:val="000000"/>
        </w:rPr>
        <w:t>biologiques ou non).</w:t>
      </w:r>
    </w:p>
    <w:p w14:paraId="3F6F1F8F" w14:textId="3028F38A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- L'Offre précise le taux de TVA en vigueur à la date de remise des offre</w:t>
      </w:r>
      <w:r w:rsidR="005058CE">
        <w:rPr>
          <w:rFonts w:cstheme="minorHAnsi"/>
          <w:bCs/>
          <w:color w:val="000000"/>
        </w:rPr>
        <w:t xml:space="preserve">s. Le prix comprend </w:t>
      </w:r>
      <w:r w:rsidRPr="007A1EA0">
        <w:rPr>
          <w:rFonts w:cstheme="minorHAnsi"/>
          <w:bCs/>
          <w:color w:val="000000"/>
        </w:rPr>
        <w:t>la préparation, la fourniture des repas ainsi que leur acheminement sur la cuisine centrale.</w:t>
      </w:r>
    </w:p>
    <w:p w14:paraId="2E13B2E0" w14:textId="77777777" w:rsidR="005058CE" w:rsidRPr="007A1EA0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51A743D" w14:textId="44C208A0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u w:val="single"/>
        </w:rPr>
      </w:pPr>
      <w:r w:rsidRPr="005058CE">
        <w:rPr>
          <w:rFonts w:ascii="Segoe UI Symbol" w:hAnsi="Segoe UI Symbol" w:cs="Segoe UI Symbol"/>
          <w:bCs/>
          <w:color w:val="000000"/>
          <w:u w:val="single"/>
        </w:rPr>
        <w:t>➢</w:t>
      </w:r>
      <w:r w:rsidRPr="005058CE">
        <w:rPr>
          <w:rFonts w:cstheme="minorHAnsi"/>
          <w:bCs/>
          <w:color w:val="000000"/>
          <w:u w:val="single"/>
        </w:rPr>
        <w:t xml:space="preserve"> Critère 2. Valeur technique, qualitative et diversité nutritionnelle 40%</w:t>
      </w:r>
    </w:p>
    <w:p w14:paraId="62D1C661" w14:textId="77777777" w:rsidR="005058CE" w:rsidRPr="005058CE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u w:val="single"/>
        </w:rPr>
      </w:pPr>
    </w:p>
    <w:p w14:paraId="02E9FFFC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- Agrément sanitaire pour la durée du marché (5%)</w:t>
      </w:r>
    </w:p>
    <w:p w14:paraId="7BF9C08B" w14:textId="0A9E68EA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- Fournitures des documents attestant de l’approvi</w:t>
      </w:r>
      <w:r w:rsidR="005058CE">
        <w:rPr>
          <w:rFonts w:cstheme="minorHAnsi"/>
          <w:bCs/>
          <w:color w:val="000000"/>
        </w:rPr>
        <w:t xml:space="preserve">sionnement des denrées dans les </w:t>
      </w:r>
      <w:r w:rsidRPr="007A1EA0">
        <w:rPr>
          <w:rFonts w:cstheme="minorHAnsi"/>
          <w:bCs/>
          <w:color w:val="000000"/>
        </w:rPr>
        <w:t>filières qualité attendue, attestations de traçabilité et ori</w:t>
      </w:r>
      <w:r w:rsidR="005058CE">
        <w:rPr>
          <w:rFonts w:cstheme="minorHAnsi"/>
          <w:bCs/>
          <w:color w:val="000000"/>
        </w:rPr>
        <w:t xml:space="preserve">gines des produits (agriculture </w:t>
      </w:r>
      <w:r w:rsidRPr="007A1EA0">
        <w:rPr>
          <w:rFonts w:cstheme="minorHAnsi"/>
          <w:bCs/>
          <w:color w:val="000000"/>
        </w:rPr>
        <w:t>biologique, produits du commerce équitable), produits en fonction de la saisonnalité (10%)</w:t>
      </w:r>
    </w:p>
    <w:p w14:paraId="762BC3E9" w14:textId="7DA31AA3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- Dispositions et moyens de contrôle mis en place pour </w:t>
      </w:r>
      <w:r w:rsidR="005058CE">
        <w:rPr>
          <w:rFonts w:cstheme="minorHAnsi"/>
          <w:bCs/>
          <w:color w:val="000000"/>
        </w:rPr>
        <w:t xml:space="preserve">s'assurer de la bonne exécution </w:t>
      </w:r>
      <w:r w:rsidRPr="007A1EA0">
        <w:rPr>
          <w:rFonts w:cstheme="minorHAnsi"/>
          <w:bCs/>
          <w:color w:val="000000"/>
        </w:rPr>
        <w:t>des prestations ainsi que pour assurer la continuité du service public (10%)</w:t>
      </w:r>
    </w:p>
    <w:p w14:paraId="59CF1AFA" w14:textId="51211B34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- Présentation détaillée des règles d’hygiène et de sécurité alimentaire (10%)</w:t>
      </w:r>
    </w:p>
    <w:p w14:paraId="73439209" w14:textId="7E1D87A8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- Un projet de menus sur 2 semaines intégrant la part des </w:t>
      </w:r>
      <w:r w:rsidR="005058CE">
        <w:rPr>
          <w:rFonts w:cstheme="minorHAnsi"/>
          <w:bCs/>
          <w:color w:val="000000"/>
        </w:rPr>
        <w:t xml:space="preserve">produits issus de l’agriculture </w:t>
      </w:r>
      <w:r w:rsidRPr="007A1EA0">
        <w:rPr>
          <w:rFonts w:cstheme="minorHAnsi"/>
          <w:bCs/>
          <w:color w:val="000000"/>
        </w:rPr>
        <w:t>biologique (5%)</w:t>
      </w:r>
    </w:p>
    <w:p w14:paraId="4DEA3C34" w14:textId="77777777" w:rsidR="005058CE" w:rsidRPr="007A1EA0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024663DA" w14:textId="2E14809E" w:rsidR="007A1EA0" w:rsidRPr="005058CE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u w:val="single"/>
        </w:rPr>
      </w:pPr>
      <w:r w:rsidRPr="005058CE">
        <w:rPr>
          <w:rFonts w:ascii="Segoe UI Symbol" w:hAnsi="Segoe UI Symbol" w:cs="Segoe UI Symbol"/>
          <w:bCs/>
          <w:color w:val="000000"/>
          <w:u w:val="single"/>
        </w:rPr>
        <w:t>➢</w:t>
      </w:r>
      <w:r w:rsidRPr="005058CE">
        <w:rPr>
          <w:rFonts w:cstheme="minorHAnsi"/>
          <w:bCs/>
          <w:color w:val="000000"/>
          <w:u w:val="single"/>
        </w:rPr>
        <w:t xml:space="preserve"> Critère 3. Démarche globale de développement durable 15%</w:t>
      </w:r>
    </w:p>
    <w:p w14:paraId="6396EC30" w14:textId="77777777" w:rsidR="005058CE" w:rsidRPr="007A1EA0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617149FB" w14:textId="2FEFCF85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Dispositions concernant :</w:t>
      </w:r>
    </w:p>
    <w:p w14:paraId="1DF8F23E" w14:textId="77777777" w:rsidR="005058CE" w:rsidRPr="007A1EA0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87C5CFC" w14:textId="42102C74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- Les approvisionnements dont, notamment, les circuit</w:t>
      </w:r>
      <w:r w:rsidR="005058CE">
        <w:rPr>
          <w:rFonts w:cstheme="minorHAnsi"/>
          <w:bCs/>
          <w:color w:val="000000"/>
        </w:rPr>
        <w:t xml:space="preserve">s courts et de proximité (achat </w:t>
      </w:r>
      <w:r w:rsidRPr="007A1EA0">
        <w:rPr>
          <w:rFonts w:cstheme="minorHAnsi"/>
          <w:bCs/>
          <w:color w:val="000000"/>
        </w:rPr>
        <w:t>de matières premières chez les producteurs locaux) (5</w:t>
      </w:r>
      <w:r w:rsidR="005058CE">
        <w:rPr>
          <w:rFonts w:cstheme="minorHAnsi"/>
          <w:bCs/>
          <w:color w:val="000000"/>
        </w:rPr>
        <w:t xml:space="preserve"> %</w:t>
      </w:r>
      <w:r w:rsidRPr="007A1EA0">
        <w:rPr>
          <w:rFonts w:cstheme="minorHAnsi"/>
          <w:bCs/>
          <w:color w:val="000000"/>
        </w:rPr>
        <w:t>)</w:t>
      </w:r>
    </w:p>
    <w:p w14:paraId="274132FE" w14:textId="01862AF2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- La lutte contre le gaspillage alimentaire (excédent alimentaire, action de</w:t>
      </w:r>
      <w:r w:rsidR="005058CE">
        <w:rPr>
          <w:rFonts w:cstheme="minorHAnsi"/>
          <w:bCs/>
          <w:color w:val="000000"/>
        </w:rPr>
        <w:t xml:space="preserve"> </w:t>
      </w:r>
      <w:r w:rsidRPr="007A1EA0">
        <w:rPr>
          <w:rFonts w:cstheme="minorHAnsi"/>
          <w:bCs/>
          <w:color w:val="000000"/>
        </w:rPr>
        <w:t>sensibilisation) et gestion des déchets (limitation des emballages) (5</w:t>
      </w:r>
      <w:r w:rsidR="005058CE">
        <w:rPr>
          <w:rFonts w:cstheme="minorHAnsi"/>
          <w:bCs/>
          <w:color w:val="000000"/>
        </w:rPr>
        <w:t>%</w:t>
      </w:r>
      <w:r w:rsidRPr="007A1EA0">
        <w:rPr>
          <w:rFonts w:cstheme="minorHAnsi"/>
          <w:bCs/>
          <w:color w:val="000000"/>
        </w:rPr>
        <w:t>)</w:t>
      </w:r>
    </w:p>
    <w:p w14:paraId="0B4DFE3D" w14:textId="56F3D6F9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lastRenderedPageBreak/>
        <w:t>- Le suivi (désignation d’un référent) : contrôle qualité, formation du personnel (5</w:t>
      </w:r>
      <w:r w:rsidR="005058CE">
        <w:rPr>
          <w:rFonts w:cstheme="minorHAnsi"/>
          <w:bCs/>
          <w:color w:val="000000"/>
        </w:rPr>
        <w:t>%</w:t>
      </w:r>
      <w:r w:rsidRPr="007A1EA0">
        <w:rPr>
          <w:rFonts w:cstheme="minorHAnsi"/>
          <w:bCs/>
          <w:color w:val="000000"/>
        </w:rPr>
        <w:t>)</w:t>
      </w:r>
    </w:p>
    <w:p w14:paraId="638AF3B9" w14:textId="77777777" w:rsidR="005058CE" w:rsidRPr="007A1EA0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3B45CCF6" w14:textId="6D50D255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Après examen de l'ensemble des offres, la personne resp</w:t>
      </w:r>
      <w:r w:rsidR="005058CE">
        <w:rPr>
          <w:rFonts w:cstheme="minorHAnsi"/>
          <w:bCs/>
          <w:color w:val="000000"/>
        </w:rPr>
        <w:t xml:space="preserve">onsable du marché public pourra </w:t>
      </w:r>
      <w:r w:rsidRPr="007A1EA0">
        <w:rPr>
          <w:rFonts w:cstheme="minorHAnsi"/>
          <w:bCs/>
          <w:color w:val="000000"/>
        </w:rPr>
        <w:t>demander des précisions aux candidats sur la teneur de le</w:t>
      </w:r>
      <w:r w:rsidR="005058CE">
        <w:rPr>
          <w:rFonts w:cstheme="minorHAnsi"/>
          <w:bCs/>
          <w:color w:val="000000"/>
        </w:rPr>
        <w:t xml:space="preserve">ur offre. L'offre jugée la plus </w:t>
      </w:r>
      <w:r w:rsidRPr="007A1EA0">
        <w:rPr>
          <w:rFonts w:cstheme="minorHAnsi"/>
          <w:bCs/>
          <w:color w:val="000000"/>
        </w:rPr>
        <w:t>avantageuse sera déterminée, si nécessaire, après la phase de négociation.</w:t>
      </w:r>
    </w:p>
    <w:p w14:paraId="50A209EE" w14:textId="77777777" w:rsidR="005058CE" w:rsidRPr="007A1EA0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753148FA" w14:textId="771481F1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Dans le cas où des erreurs de multiplication, d'addition ou de </w:t>
      </w:r>
      <w:r w:rsidR="005058CE">
        <w:rPr>
          <w:rFonts w:cstheme="minorHAnsi"/>
          <w:bCs/>
          <w:color w:val="000000"/>
        </w:rPr>
        <w:t xml:space="preserve">report seraient constatées dans </w:t>
      </w:r>
      <w:r w:rsidRPr="007A1EA0">
        <w:rPr>
          <w:rFonts w:cstheme="minorHAnsi"/>
          <w:bCs/>
          <w:color w:val="000000"/>
        </w:rPr>
        <w:t>le bordereau des prix et le détail estimatif figurant dans l'offre</w:t>
      </w:r>
      <w:r w:rsidR="005058CE">
        <w:rPr>
          <w:rFonts w:cstheme="minorHAnsi"/>
          <w:bCs/>
          <w:color w:val="000000"/>
        </w:rPr>
        <w:t xml:space="preserve"> d'un candidat, les montants ne </w:t>
      </w:r>
      <w:r w:rsidRPr="007A1EA0">
        <w:rPr>
          <w:rFonts w:cstheme="minorHAnsi"/>
          <w:bCs/>
          <w:color w:val="000000"/>
        </w:rPr>
        <w:t>seront pas rectifiés et c'est le montant figurant dans l'act</w:t>
      </w:r>
      <w:r w:rsidR="005058CE">
        <w:rPr>
          <w:rFonts w:cstheme="minorHAnsi"/>
          <w:bCs/>
          <w:color w:val="000000"/>
        </w:rPr>
        <w:t xml:space="preserve">e d'engagement qui sera pris en </w:t>
      </w:r>
      <w:r w:rsidRPr="007A1EA0">
        <w:rPr>
          <w:rFonts w:cstheme="minorHAnsi"/>
          <w:bCs/>
          <w:color w:val="000000"/>
        </w:rPr>
        <w:t>compte pour le jugement de l'offre.</w:t>
      </w:r>
    </w:p>
    <w:p w14:paraId="1711C480" w14:textId="6A13764B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 prix pris en compte pour les prestations sous-traitées est celui indiqué d</w:t>
      </w:r>
      <w:r w:rsidR="005058CE">
        <w:rPr>
          <w:rFonts w:cstheme="minorHAnsi"/>
          <w:bCs/>
          <w:color w:val="000000"/>
        </w:rPr>
        <w:t xml:space="preserve">ans l'acte de sous </w:t>
      </w:r>
      <w:proofErr w:type="spellStart"/>
      <w:r w:rsidRPr="007A1EA0">
        <w:rPr>
          <w:rFonts w:cstheme="minorHAnsi"/>
          <w:bCs/>
          <w:color w:val="000000"/>
        </w:rPr>
        <w:t>traitance</w:t>
      </w:r>
      <w:proofErr w:type="spellEnd"/>
      <w:r w:rsidRPr="007A1EA0">
        <w:rPr>
          <w:rFonts w:cstheme="minorHAnsi"/>
          <w:bCs/>
          <w:color w:val="000000"/>
        </w:rPr>
        <w:t>.</w:t>
      </w:r>
    </w:p>
    <w:p w14:paraId="3CBF0562" w14:textId="64C9C92E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En cas de discordance entre les différentes indications du </w:t>
      </w:r>
      <w:r w:rsidR="005058CE">
        <w:rPr>
          <w:rFonts w:cstheme="minorHAnsi"/>
          <w:bCs/>
          <w:color w:val="000000"/>
        </w:rPr>
        <w:t xml:space="preserve">prix figurant dans l'offre d'un </w:t>
      </w:r>
      <w:r w:rsidRPr="007A1EA0">
        <w:rPr>
          <w:rFonts w:cstheme="minorHAnsi"/>
          <w:bCs/>
          <w:color w:val="000000"/>
        </w:rPr>
        <w:t>prestataire ; l'indication en chiffres hors TVA figurant dans l'</w:t>
      </w:r>
      <w:r w:rsidR="005058CE">
        <w:rPr>
          <w:rFonts w:cstheme="minorHAnsi"/>
          <w:bCs/>
          <w:color w:val="000000"/>
        </w:rPr>
        <w:t xml:space="preserve">acte d'engagement prévaudra sur </w:t>
      </w:r>
      <w:r w:rsidRPr="007A1EA0">
        <w:rPr>
          <w:rFonts w:cstheme="minorHAnsi"/>
          <w:bCs/>
          <w:color w:val="000000"/>
        </w:rPr>
        <w:t>toutes autres indications.</w:t>
      </w:r>
    </w:p>
    <w:p w14:paraId="2C37D72F" w14:textId="7546E802" w:rsidR="005058CE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6247FA5B" w14:textId="7E5C6E10" w:rsidR="005058CE" w:rsidRPr="007A1EA0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073E660F" w14:textId="3AF7696D" w:rsidR="007A1EA0" w:rsidRPr="005058CE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5058CE">
        <w:rPr>
          <w:rFonts w:cstheme="minorHAnsi"/>
          <w:b/>
          <w:bCs/>
          <w:color w:val="000000"/>
        </w:rPr>
        <w:t>ARTICLE 5 - Conditions d'envoi et de remise des offres</w:t>
      </w:r>
    </w:p>
    <w:p w14:paraId="40946020" w14:textId="17388A30" w:rsidR="005058CE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6F1A0FC1" w14:textId="77777777" w:rsidR="005058CE" w:rsidRPr="007A1EA0" w:rsidRDefault="005058C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028019A7" w14:textId="0721261A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Seule la voie par transmission électronique des documents</w:t>
      </w:r>
      <w:r w:rsidR="005058CE">
        <w:rPr>
          <w:rFonts w:cstheme="minorHAnsi"/>
          <w:bCs/>
          <w:color w:val="000000"/>
        </w:rPr>
        <w:t xml:space="preserve"> est acceptée. Les candidatures </w:t>
      </w:r>
      <w:r w:rsidRPr="007A1EA0">
        <w:rPr>
          <w:rFonts w:cstheme="minorHAnsi"/>
          <w:bCs/>
          <w:color w:val="000000"/>
        </w:rPr>
        <w:t>devront être déposées sur la plateforme : www.achat-national.safetender.com</w:t>
      </w:r>
    </w:p>
    <w:p w14:paraId="5C39451C" w14:textId="7ED2A4C5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Les conditions de présentation des plis électroniques sont simil</w:t>
      </w:r>
      <w:r w:rsidR="005058CE">
        <w:rPr>
          <w:rFonts w:cstheme="minorHAnsi"/>
          <w:bCs/>
          <w:color w:val="000000"/>
        </w:rPr>
        <w:t xml:space="preserve">aires à celles exigées pour les </w:t>
      </w:r>
      <w:r w:rsidRPr="007A1EA0">
        <w:rPr>
          <w:rFonts w:cstheme="minorHAnsi"/>
          <w:bCs/>
          <w:color w:val="000000"/>
        </w:rPr>
        <w:t>réponses sur support papier. Chaque transmission fera l’objet d</w:t>
      </w:r>
      <w:r w:rsidR="005058CE">
        <w:rPr>
          <w:rFonts w:cstheme="minorHAnsi"/>
          <w:bCs/>
          <w:color w:val="000000"/>
        </w:rPr>
        <w:t xml:space="preserve">’une date certaine de réception </w:t>
      </w:r>
      <w:r w:rsidRPr="007A1EA0">
        <w:rPr>
          <w:rFonts w:cstheme="minorHAnsi"/>
          <w:bCs/>
          <w:color w:val="000000"/>
        </w:rPr>
        <w:t>et d’un accusé de réception électronique.</w:t>
      </w:r>
    </w:p>
    <w:p w14:paraId="249B4601" w14:textId="3598F30D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 fuseau horaire de référence sera celui de (GMT+01:00) Paris, Bruxel</w:t>
      </w:r>
      <w:r w:rsidR="00085D9E">
        <w:rPr>
          <w:rFonts w:cstheme="minorHAnsi"/>
          <w:bCs/>
          <w:color w:val="000000"/>
        </w:rPr>
        <w:t xml:space="preserve">les, Copenhague, </w:t>
      </w:r>
      <w:r w:rsidRPr="007A1EA0">
        <w:rPr>
          <w:rFonts w:cstheme="minorHAnsi"/>
          <w:bCs/>
          <w:color w:val="000000"/>
        </w:rPr>
        <w:t>Madrid.</w:t>
      </w:r>
    </w:p>
    <w:p w14:paraId="74C4F0D2" w14:textId="18714240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Les formats électroniques dans lesquels les documents</w:t>
      </w:r>
      <w:r w:rsidR="00085D9E">
        <w:rPr>
          <w:rFonts w:cstheme="minorHAnsi"/>
          <w:bCs/>
          <w:color w:val="000000"/>
        </w:rPr>
        <w:t xml:space="preserve"> peuvent être transmis sont les </w:t>
      </w:r>
      <w:r w:rsidRPr="007A1EA0">
        <w:rPr>
          <w:rFonts w:cstheme="minorHAnsi"/>
          <w:bCs/>
          <w:color w:val="000000"/>
        </w:rPr>
        <w:t>suivants :</w:t>
      </w:r>
    </w:p>
    <w:p w14:paraId="4257AD49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− Pour la bureautique : Microsoft Word, Excel</w:t>
      </w:r>
    </w:p>
    <w:p w14:paraId="389FB33E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− Pour les images : PDF ou JPEG</w:t>
      </w:r>
    </w:p>
    <w:p w14:paraId="61AC36AD" w14:textId="4C075B0E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− Pour les fichiers compressés : </w:t>
      </w:r>
      <w:proofErr w:type="spellStart"/>
      <w:r w:rsidRPr="007A1EA0">
        <w:rPr>
          <w:rFonts w:cstheme="minorHAnsi"/>
          <w:bCs/>
          <w:color w:val="000000"/>
        </w:rPr>
        <w:t>Winrar</w:t>
      </w:r>
      <w:proofErr w:type="spellEnd"/>
      <w:r w:rsidRPr="007A1EA0">
        <w:rPr>
          <w:rFonts w:cstheme="minorHAnsi"/>
          <w:bCs/>
          <w:color w:val="000000"/>
        </w:rPr>
        <w:t xml:space="preserve"> ou </w:t>
      </w:r>
      <w:proofErr w:type="spellStart"/>
      <w:r w:rsidRPr="007A1EA0">
        <w:rPr>
          <w:rFonts w:cstheme="minorHAnsi"/>
          <w:bCs/>
          <w:color w:val="000000"/>
        </w:rPr>
        <w:t>winzip</w:t>
      </w:r>
      <w:proofErr w:type="spellEnd"/>
    </w:p>
    <w:p w14:paraId="513CFEB4" w14:textId="77777777" w:rsidR="00085D9E" w:rsidRPr="007A1EA0" w:rsidRDefault="00085D9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6BA6CEE" w14:textId="2C041855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Signature électronique :</w:t>
      </w:r>
    </w:p>
    <w:p w14:paraId="34263FA9" w14:textId="77777777" w:rsidR="00085D9E" w:rsidRPr="007A1EA0" w:rsidRDefault="00085D9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4C150B09" w14:textId="33298C70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Les pièces devront obligatoirement être signées pour les pièce</w:t>
      </w:r>
      <w:r w:rsidR="00085D9E">
        <w:rPr>
          <w:rFonts w:cstheme="minorHAnsi"/>
          <w:bCs/>
          <w:color w:val="000000"/>
        </w:rPr>
        <w:t xml:space="preserve">s constituant la candidature et </w:t>
      </w:r>
      <w:r w:rsidRPr="007A1EA0">
        <w:rPr>
          <w:rFonts w:cstheme="minorHAnsi"/>
          <w:bCs/>
          <w:color w:val="000000"/>
        </w:rPr>
        <w:t>l’acte d’engagement</w:t>
      </w:r>
    </w:p>
    <w:p w14:paraId="556D2BA6" w14:textId="1FE478F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La signature électronique devra être celle d’une personne habili</w:t>
      </w:r>
      <w:r w:rsidR="00085D9E">
        <w:rPr>
          <w:rFonts w:cstheme="minorHAnsi"/>
          <w:bCs/>
          <w:color w:val="000000"/>
        </w:rPr>
        <w:t xml:space="preserve">tée à engager l’entreprise avec </w:t>
      </w:r>
      <w:r w:rsidRPr="007A1EA0">
        <w:rPr>
          <w:rFonts w:cstheme="minorHAnsi"/>
          <w:bCs/>
          <w:color w:val="000000"/>
        </w:rPr>
        <w:t>au minimum un certificat de classe II agréé MINEFI. (Certi</w:t>
      </w:r>
      <w:r w:rsidR="00085D9E">
        <w:rPr>
          <w:rFonts w:cstheme="minorHAnsi"/>
          <w:bCs/>
          <w:color w:val="000000"/>
        </w:rPr>
        <w:t xml:space="preserve">ficat de signature électronique </w:t>
      </w:r>
      <w:r w:rsidRPr="007A1EA0">
        <w:rPr>
          <w:rFonts w:cstheme="minorHAnsi"/>
          <w:bCs/>
          <w:color w:val="000000"/>
        </w:rPr>
        <w:t>référencé dans la liste publiée à l’adresse : www.entreprises.minefi.gouv.fr/certificats/).</w:t>
      </w:r>
    </w:p>
    <w:p w14:paraId="575354DF" w14:textId="20AF1A82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A défaut, les candidatures et les offres transmises par vo</w:t>
      </w:r>
      <w:r w:rsidR="00085D9E">
        <w:rPr>
          <w:rFonts w:cstheme="minorHAnsi"/>
          <w:bCs/>
          <w:color w:val="000000"/>
        </w:rPr>
        <w:t xml:space="preserve">ie électronique concernées sont </w:t>
      </w:r>
      <w:r w:rsidRPr="007A1EA0">
        <w:rPr>
          <w:rFonts w:cstheme="minorHAnsi"/>
          <w:bCs/>
          <w:color w:val="000000"/>
        </w:rPr>
        <w:t>rejetées. Le certificat doit être détenu par une perso</w:t>
      </w:r>
      <w:r w:rsidR="00085D9E">
        <w:rPr>
          <w:rFonts w:cstheme="minorHAnsi"/>
          <w:bCs/>
          <w:color w:val="000000"/>
        </w:rPr>
        <w:t xml:space="preserve">nne ayant capacité à engager le </w:t>
      </w:r>
      <w:r w:rsidRPr="007A1EA0">
        <w:rPr>
          <w:rFonts w:cstheme="minorHAnsi"/>
          <w:bCs/>
          <w:color w:val="000000"/>
        </w:rPr>
        <w:t>soumissionnaire dans le cadre de la présente consultation.</w:t>
      </w:r>
    </w:p>
    <w:p w14:paraId="1EE9BB0B" w14:textId="7898AAE4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512DE1B0" w14:textId="13A15A70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Les frais d’accès au réseau et de recours à la signature é</w:t>
      </w:r>
      <w:r w:rsidR="00085D9E">
        <w:rPr>
          <w:rFonts w:cstheme="minorHAnsi"/>
          <w:bCs/>
          <w:color w:val="000000"/>
        </w:rPr>
        <w:t xml:space="preserve">lectronique sont à la charge de </w:t>
      </w:r>
      <w:r w:rsidRPr="007A1EA0">
        <w:rPr>
          <w:rFonts w:cstheme="minorHAnsi"/>
          <w:bCs/>
          <w:color w:val="000000"/>
        </w:rPr>
        <w:t>chaque candidat.</w:t>
      </w:r>
    </w:p>
    <w:p w14:paraId="1FB74A71" w14:textId="77777777" w:rsidR="00085D9E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Tout document contenant un virus informatique fera l’objet d’u</w:t>
      </w:r>
      <w:r w:rsidR="00085D9E">
        <w:rPr>
          <w:rFonts w:cstheme="minorHAnsi"/>
          <w:bCs/>
          <w:color w:val="000000"/>
        </w:rPr>
        <w:t xml:space="preserve">n archivage de sécurité et sera </w:t>
      </w:r>
      <w:r w:rsidRPr="007A1EA0">
        <w:rPr>
          <w:rFonts w:cstheme="minorHAnsi"/>
          <w:bCs/>
          <w:color w:val="000000"/>
        </w:rPr>
        <w:t xml:space="preserve">réputé n’avoir jamais été reçu. Le candidat concerné en sera informé. </w:t>
      </w:r>
    </w:p>
    <w:p w14:paraId="2F95FB47" w14:textId="4EAC04F7" w:rsidR="007A1EA0" w:rsidRPr="007A1EA0" w:rsidRDefault="00085D9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Dans ces conditions, il </w:t>
      </w:r>
      <w:r w:rsidR="007A1EA0" w:rsidRPr="007A1EA0">
        <w:rPr>
          <w:rFonts w:cstheme="minorHAnsi"/>
          <w:bCs/>
          <w:color w:val="000000"/>
        </w:rPr>
        <w:t>est conseillé aux candidats de soumettre leurs documents à un anti-virus avant envoi.</w:t>
      </w:r>
    </w:p>
    <w:p w14:paraId="0F0A5ACE" w14:textId="6405C7F4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lastRenderedPageBreak/>
        <w:t>Les candidats qui le souhaitent sont autorisés à transmet</w:t>
      </w:r>
      <w:r w:rsidR="00085D9E">
        <w:rPr>
          <w:rFonts w:cstheme="minorHAnsi"/>
          <w:bCs/>
          <w:color w:val="000000"/>
        </w:rPr>
        <w:t xml:space="preserve">tre une copie de sauvegarde sur </w:t>
      </w:r>
      <w:r w:rsidRPr="007A1EA0">
        <w:rPr>
          <w:rFonts w:cstheme="minorHAnsi"/>
          <w:bCs/>
          <w:color w:val="000000"/>
        </w:rPr>
        <w:t>support papier. Cette copie doit parvenir dans les mêmes d</w:t>
      </w:r>
      <w:r w:rsidR="00085D9E">
        <w:rPr>
          <w:rFonts w:cstheme="minorHAnsi"/>
          <w:bCs/>
          <w:color w:val="000000"/>
        </w:rPr>
        <w:t xml:space="preserve">élais que ceux impartis pour la </w:t>
      </w:r>
      <w:r w:rsidRPr="007A1EA0">
        <w:rPr>
          <w:rFonts w:cstheme="minorHAnsi"/>
          <w:bCs/>
          <w:color w:val="000000"/>
        </w:rPr>
        <w:t>remise des offres.</w:t>
      </w:r>
    </w:p>
    <w:p w14:paraId="1B4A55B3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Cette copie de sauvegarde doit être placée dans un pli scellé comportant la mention lisible :</w:t>
      </w:r>
    </w:p>
    <w:p w14:paraId="183A363C" w14:textId="77777777" w:rsidR="00085D9E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« copie de sauvegarde ». </w:t>
      </w:r>
    </w:p>
    <w:p w14:paraId="75F5B7D6" w14:textId="79BE2396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La copie de sauvegarde ne peu</w:t>
      </w:r>
      <w:r w:rsidR="00085D9E">
        <w:rPr>
          <w:rFonts w:cstheme="minorHAnsi"/>
          <w:bCs/>
          <w:color w:val="000000"/>
        </w:rPr>
        <w:t xml:space="preserve">t être ouverte que dans les cas </w:t>
      </w:r>
      <w:r w:rsidRPr="007A1EA0">
        <w:rPr>
          <w:rFonts w:cstheme="minorHAnsi"/>
          <w:bCs/>
          <w:color w:val="000000"/>
        </w:rPr>
        <w:t>suivants : lorsqu’un programme informatique malveillant est détec</w:t>
      </w:r>
      <w:r w:rsidR="00085D9E">
        <w:rPr>
          <w:rFonts w:cstheme="minorHAnsi"/>
          <w:bCs/>
          <w:color w:val="000000"/>
        </w:rPr>
        <w:t xml:space="preserve">té par l’entité adjudicatrice ; </w:t>
      </w:r>
      <w:r w:rsidRPr="007A1EA0">
        <w:rPr>
          <w:rFonts w:cstheme="minorHAnsi"/>
          <w:bCs/>
          <w:color w:val="000000"/>
        </w:rPr>
        <w:t>lorsque l’offre a été transmise par voie électronique mai</w:t>
      </w:r>
      <w:r w:rsidR="00085D9E">
        <w:rPr>
          <w:rFonts w:cstheme="minorHAnsi"/>
          <w:bCs/>
          <w:color w:val="000000"/>
        </w:rPr>
        <w:t xml:space="preserve">s n’est pas parvenue à l’entité </w:t>
      </w:r>
      <w:r w:rsidRPr="007A1EA0">
        <w:rPr>
          <w:rFonts w:cstheme="minorHAnsi"/>
          <w:bCs/>
          <w:color w:val="000000"/>
        </w:rPr>
        <w:t>adjudicatrice dans le délai de dépôt des offres ou lorsqu’elle n’a p</w:t>
      </w:r>
      <w:r w:rsidR="00085D9E">
        <w:rPr>
          <w:rFonts w:cstheme="minorHAnsi"/>
          <w:bCs/>
          <w:color w:val="000000"/>
        </w:rPr>
        <w:t xml:space="preserve">as pu être ouverte par l’entité </w:t>
      </w:r>
      <w:r w:rsidRPr="007A1EA0">
        <w:rPr>
          <w:rFonts w:cstheme="minorHAnsi"/>
          <w:bCs/>
          <w:color w:val="000000"/>
        </w:rPr>
        <w:t xml:space="preserve">adjudicatrice, sous réserve que la copie de sauvegarde soit </w:t>
      </w:r>
      <w:r w:rsidR="00085D9E">
        <w:rPr>
          <w:rFonts w:cstheme="minorHAnsi"/>
          <w:bCs/>
          <w:color w:val="000000"/>
        </w:rPr>
        <w:t xml:space="preserve">parvenue dans le délai de dépôt </w:t>
      </w:r>
      <w:r w:rsidRPr="007A1EA0">
        <w:rPr>
          <w:rFonts w:cstheme="minorHAnsi"/>
          <w:bCs/>
          <w:color w:val="000000"/>
        </w:rPr>
        <w:t>des offres.</w:t>
      </w:r>
    </w:p>
    <w:p w14:paraId="36F63614" w14:textId="5CD842CA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Si le pli contenant la copie de sauvegarde n’est pas ouvert</w:t>
      </w:r>
      <w:r w:rsidR="00085D9E">
        <w:rPr>
          <w:rFonts w:cstheme="minorHAnsi"/>
          <w:bCs/>
          <w:color w:val="000000"/>
        </w:rPr>
        <w:t xml:space="preserve">, il est détruit par le pouvoir </w:t>
      </w:r>
      <w:r w:rsidRPr="007A1EA0">
        <w:rPr>
          <w:rFonts w:cstheme="minorHAnsi"/>
          <w:bCs/>
          <w:color w:val="000000"/>
        </w:rPr>
        <w:t>adjudicateur.</w:t>
      </w:r>
    </w:p>
    <w:p w14:paraId="6F871732" w14:textId="77777777" w:rsidR="00085D9E" w:rsidRPr="007A1EA0" w:rsidRDefault="00085D9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E85656D" w14:textId="2C91D4DF" w:rsidR="007A1EA0" w:rsidRPr="00085D9E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085D9E">
        <w:rPr>
          <w:rFonts w:cstheme="minorHAnsi"/>
          <w:b/>
          <w:bCs/>
          <w:color w:val="000000"/>
        </w:rPr>
        <w:t>ARTICLE 6 - Renseignements complémentaires</w:t>
      </w:r>
    </w:p>
    <w:p w14:paraId="71A044A7" w14:textId="77777777" w:rsidR="00085D9E" w:rsidRPr="007A1EA0" w:rsidRDefault="00085D9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8BCB75A" w14:textId="31A4EBA0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Pour obtenir tous les renseignements complémentaires qui leu</w:t>
      </w:r>
      <w:r w:rsidR="00085D9E">
        <w:rPr>
          <w:rFonts w:cstheme="minorHAnsi"/>
          <w:bCs/>
          <w:color w:val="000000"/>
        </w:rPr>
        <w:t xml:space="preserve">r seraient nécessaires au cours </w:t>
      </w:r>
      <w:r w:rsidRPr="007A1EA0">
        <w:rPr>
          <w:rFonts w:cstheme="minorHAnsi"/>
          <w:bCs/>
          <w:color w:val="000000"/>
        </w:rPr>
        <w:t>de leur étude, les candidats devront faire parvenir une dema</w:t>
      </w:r>
      <w:r w:rsidR="00085D9E">
        <w:rPr>
          <w:rFonts w:cstheme="minorHAnsi"/>
          <w:bCs/>
          <w:color w:val="000000"/>
        </w:rPr>
        <w:t xml:space="preserve">nde écrite via la plateforme de </w:t>
      </w:r>
      <w:r w:rsidRPr="007A1EA0">
        <w:rPr>
          <w:rFonts w:cstheme="minorHAnsi"/>
          <w:bCs/>
          <w:color w:val="000000"/>
        </w:rPr>
        <w:t>dématérialisation.</w:t>
      </w:r>
    </w:p>
    <w:p w14:paraId="21BDC8F9" w14:textId="51766D80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Une réponse sera alors adressée, par écrit, au candidat qui e</w:t>
      </w:r>
      <w:r w:rsidR="00085D9E">
        <w:rPr>
          <w:rFonts w:cstheme="minorHAnsi"/>
          <w:bCs/>
          <w:color w:val="000000"/>
        </w:rPr>
        <w:t xml:space="preserve">n aura fait la demande, 5 jours </w:t>
      </w:r>
      <w:r w:rsidRPr="007A1EA0">
        <w:rPr>
          <w:rFonts w:cstheme="minorHAnsi"/>
          <w:bCs/>
          <w:color w:val="000000"/>
        </w:rPr>
        <w:t>au plus tard avant la date limite de réception des offres.</w:t>
      </w:r>
    </w:p>
    <w:p w14:paraId="4753B80B" w14:textId="77777777" w:rsidR="00085D9E" w:rsidRPr="007A1EA0" w:rsidRDefault="00085D9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08D3C5A3" w14:textId="71C85117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085D9E">
        <w:rPr>
          <w:rFonts w:cstheme="minorHAnsi"/>
          <w:b/>
          <w:bCs/>
          <w:color w:val="000000"/>
        </w:rPr>
        <w:t>ARTICLE 7 : Procédure de recours</w:t>
      </w:r>
    </w:p>
    <w:p w14:paraId="2CDBCA0E" w14:textId="77777777" w:rsidR="00085D9E" w:rsidRPr="00085D9E" w:rsidRDefault="00085D9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3C9EDF06" w14:textId="69D6E88A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Instance chargée des procédures de recours et auprès</w:t>
      </w:r>
      <w:r w:rsidR="00085D9E">
        <w:rPr>
          <w:rFonts w:cstheme="minorHAnsi"/>
          <w:bCs/>
          <w:color w:val="000000"/>
        </w:rPr>
        <w:t xml:space="preserve"> de laquelle des renseignements </w:t>
      </w:r>
      <w:r w:rsidRPr="007A1EA0">
        <w:rPr>
          <w:rFonts w:cstheme="minorHAnsi"/>
          <w:bCs/>
          <w:color w:val="000000"/>
        </w:rPr>
        <w:t>peuvent être obtenus concernant l'introduction des recours :</w:t>
      </w:r>
    </w:p>
    <w:p w14:paraId="74A3EE3D" w14:textId="77777777" w:rsidR="00085D9E" w:rsidRPr="007A1EA0" w:rsidRDefault="00085D9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3E316563" w14:textId="5B977E94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Tribunal Administratif de </w:t>
      </w:r>
      <w:r w:rsidR="00085D9E">
        <w:rPr>
          <w:rFonts w:cstheme="minorHAnsi"/>
          <w:bCs/>
          <w:color w:val="000000"/>
        </w:rPr>
        <w:t>Melun</w:t>
      </w:r>
    </w:p>
    <w:p w14:paraId="5DDFE5BB" w14:textId="5DE645CC" w:rsidR="00085D9E" w:rsidRDefault="00085D9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43 rue du Général de Gaulle</w:t>
      </w:r>
    </w:p>
    <w:p w14:paraId="661086D6" w14:textId="2A625A7F" w:rsidR="00085D9E" w:rsidRPr="007A1EA0" w:rsidRDefault="00085D9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Case Postale 8630</w:t>
      </w:r>
    </w:p>
    <w:p w14:paraId="34297791" w14:textId="1DB4D6DF" w:rsidR="007A1EA0" w:rsidRDefault="006C4279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77000 MELUN</w:t>
      </w:r>
    </w:p>
    <w:p w14:paraId="3936E23F" w14:textId="77777777" w:rsidR="00085D9E" w:rsidRPr="007A1EA0" w:rsidRDefault="00085D9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6FCA7263" w14:textId="0C1E3629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 xml:space="preserve">Téléphone : </w:t>
      </w:r>
      <w:r w:rsidR="00085D9E">
        <w:rPr>
          <w:rFonts w:cstheme="minorHAnsi"/>
          <w:bCs/>
          <w:color w:val="000000"/>
        </w:rPr>
        <w:t>01.60.56.66.30</w:t>
      </w:r>
    </w:p>
    <w:p w14:paraId="7E107146" w14:textId="1A86423C" w:rsidR="00085D9E" w:rsidRPr="007A1EA0" w:rsidRDefault="00085D9E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Télécopie : 01.60.56.66.10</w:t>
      </w:r>
    </w:p>
    <w:p w14:paraId="44932771" w14:textId="52B02D59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</w:pPr>
      <w:r w:rsidRPr="007A1EA0">
        <w:rPr>
          <w:rFonts w:cstheme="minorHAnsi"/>
          <w:bCs/>
          <w:color w:val="000000"/>
        </w:rPr>
        <w:t xml:space="preserve">Courriel : </w:t>
      </w:r>
      <w:hyperlink r:id="rId7" w:tgtFrame="_blank" w:history="1">
        <w:r w:rsidR="00085D9E">
          <w:rPr>
            <w:rStyle w:val="Lienhypertexte"/>
          </w:rPr>
          <w:t>greffe.ta-melun@juradm.fr</w:t>
        </w:r>
      </w:hyperlink>
    </w:p>
    <w:p w14:paraId="4BC8A173" w14:textId="77777777" w:rsidR="00867D43" w:rsidRPr="007A1EA0" w:rsidRDefault="00867D43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4C871B6B" w14:textId="1F47AFDE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Précisions concernant le(s) délai(s) d'introduction des recou</w:t>
      </w:r>
      <w:r w:rsidR="00867D43">
        <w:rPr>
          <w:rFonts w:cstheme="minorHAnsi"/>
          <w:bCs/>
          <w:color w:val="000000"/>
        </w:rPr>
        <w:t xml:space="preserve">rs : Délai de recours du référé </w:t>
      </w:r>
      <w:r w:rsidRPr="007A1EA0">
        <w:rPr>
          <w:rFonts w:cstheme="minorHAnsi"/>
          <w:bCs/>
          <w:color w:val="000000"/>
        </w:rPr>
        <w:t>précontractuel : dans les 11 jours suivant la date de notificatio</w:t>
      </w:r>
      <w:r w:rsidR="00867D43">
        <w:rPr>
          <w:rFonts w:cstheme="minorHAnsi"/>
          <w:bCs/>
          <w:color w:val="000000"/>
        </w:rPr>
        <w:t xml:space="preserve">n de la décision de rejet de la </w:t>
      </w:r>
      <w:r w:rsidRPr="007A1EA0">
        <w:rPr>
          <w:rFonts w:cstheme="minorHAnsi"/>
          <w:bCs/>
          <w:color w:val="000000"/>
        </w:rPr>
        <w:t>candidature ou de l'offre ; ou en cas de demande d'annulation d'un acte détachable du contrat :</w:t>
      </w:r>
    </w:p>
    <w:p w14:paraId="37D968EE" w14:textId="1ED93E36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2 mois à compter de la publication de l'affichage ou de la notifica</w:t>
      </w:r>
      <w:r w:rsidR="00867D43">
        <w:rPr>
          <w:rFonts w:cstheme="minorHAnsi"/>
          <w:bCs/>
          <w:color w:val="000000"/>
        </w:rPr>
        <w:t xml:space="preserve">tion de l'acte attaqué (L521.1. </w:t>
      </w:r>
      <w:r w:rsidRPr="007A1EA0">
        <w:rPr>
          <w:rFonts w:cstheme="minorHAnsi"/>
          <w:bCs/>
          <w:color w:val="000000"/>
        </w:rPr>
        <w:t>et R421.1 du CJA)</w:t>
      </w:r>
      <w:r w:rsidR="00867D43">
        <w:rPr>
          <w:rFonts w:cstheme="minorHAnsi"/>
          <w:bCs/>
          <w:color w:val="000000"/>
        </w:rPr>
        <w:t>.</w:t>
      </w:r>
    </w:p>
    <w:p w14:paraId="0F346720" w14:textId="77777777" w:rsidR="00867D43" w:rsidRPr="007A1EA0" w:rsidRDefault="00867D43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A9B366C" w14:textId="6864F15E" w:rsid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Lu et accepté,</w:t>
      </w:r>
    </w:p>
    <w:p w14:paraId="038C8C94" w14:textId="77777777" w:rsidR="00867D43" w:rsidRPr="007A1EA0" w:rsidRDefault="00867D43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F839D69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 prestataire soussigné ;</w:t>
      </w:r>
    </w:p>
    <w:p w14:paraId="173A8643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à ............................................................................</w:t>
      </w:r>
    </w:p>
    <w:p w14:paraId="2DD71316" w14:textId="3B3D65E6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7A1EA0">
        <w:rPr>
          <w:rFonts w:cstheme="minorHAnsi"/>
          <w:bCs/>
          <w:color w:val="000000"/>
        </w:rPr>
        <w:t>Le :</w:t>
      </w:r>
    </w:p>
    <w:p w14:paraId="1F7EADBB" w14:textId="77777777" w:rsidR="007A1EA0" w:rsidRPr="007A1EA0" w:rsidRDefault="007A1EA0" w:rsidP="001945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584DBAEA" w14:textId="56B9346E" w:rsidR="0037078E" w:rsidRPr="007A1EA0" w:rsidRDefault="0037078E" w:rsidP="0019451E">
      <w:pPr>
        <w:spacing w:after="100" w:afterAutospacing="1" w:line="240" w:lineRule="auto"/>
        <w:jc w:val="both"/>
        <w:rPr>
          <w:rFonts w:cstheme="minorHAnsi"/>
        </w:rPr>
      </w:pPr>
    </w:p>
    <w:sectPr w:rsidR="0037078E" w:rsidRPr="007A1EA0" w:rsidSect="009D3A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353E" w14:textId="77777777" w:rsidR="008F1F27" w:rsidRDefault="008F1F27" w:rsidP="009D3AAC">
      <w:pPr>
        <w:spacing w:after="0" w:line="240" w:lineRule="auto"/>
      </w:pPr>
      <w:r>
        <w:separator/>
      </w:r>
    </w:p>
  </w:endnote>
  <w:endnote w:type="continuationSeparator" w:id="0">
    <w:p w14:paraId="10D64E31" w14:textId="77777777" w:rsidR="008F1F27" w:rsidRDefault="008F1F27" w:rsidP="009D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777982"/>
      <w:docPartObj>
        <w:docPartGallery w:val="Page Numbers (Bottom of Page)"/>
        <w:docPartUnique/>
      </w:docPartObj>
    </w:sdtPr>
    <w:sdtEndPr/>
    <w:sdtContent>
      <w:p w14:paraId="3E2C220F" w14:textId="7EAC0241" w:rsidR="00026C68" w:rsidRDefault="00026C6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A70">
          <w:rPr>
            <w:noProof/>
          </w:rPr>
          <w:t>5</w:t>
        </w:r>
        <w:r>
          <w:fldChar w:fldCharType="end"/>
        </w:r>
      </w:p>
    </w:sdtContent>
  </w:sdt>
  <w:p w14:paraId="36CA1739" w14:textId="77777777" w:rsidR="00026C68" w:rsidRDefault="00026C68" w:rsidP="00026C68">
    <w:pPr>
      <w:pStyle w:val="Pieddepag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 xml:space="preserve">MAIRIE DE COUTEVROULT </w:t>
    </w:r>
    <w:r w:rsidRPr="009D3AAC">
      <w:rPr>
        <w:rFonts w:ascii="Times New Roman" w:hAnsi="Times New Roman" w:cs="Times New Roman"/>
      </w:rPr>
      <w:t>15 rue de la Brosse 77580 Coutevroult</w:t>
    </w:r>
    <w:r w:rsidRPr="009D3AAC">
      <w:rPr>
        <w:rFonts w:ascii="Times New Roman" w:hAnsi="Times New Roman" w:cs="Times New Roman"/>
      </w:rPr>
      <w:br/>
      <w:t xml:space="preserve">01 60 04 53 63 </w:t>
    </w:r>
    <w:r w:rsidRPr="00F6199F">
      <w:rPr>
        <w:rFonts w:ascii="Times New Roman" w:hAnsi="Times New Roman" w:cs="Times New Roman"/>
        <w:b/>
        <w:sz w:val="24"/>
      </w:rPr>
      <w:t>|</w:t>
    </w:r>
    <w:r w:rsidRPr="009D3AAC">
      <w:rPr>
        <w:rFonts w:ascii="Times New Roman" w:hAnsi="Times New Roman" w:cs="Times New Roman"/>
      </w:rPr>
      <w:t xml:space="preserve"> </w:t>
    </w:r>
    <w:hyperlink r:id="rId1" w:history="1">
      <w:r w:rsidRPr="009D3AAC">
        <w:rPr>
          <w:rStyle w:val="Lienhypertexte"/>
          <w:rFonts w:ascii="Times New Roman" w:hAnsi="Times New Roman" w:cs="Times New Roman"/>
          <w:color w:val="auto"/>
          <w:u w:val="none"/>
        </w:rPr>
        <w:t>coutevroult@wanadoo.fr</w:t>
      </w:r>
    </w:hyperlink>
  </w:p>
  <w:p w14:paraId="4D0150DC" w14:textId="24235A12" w:rsidR="009D3AAC" w:rsidRPr="009D3AAC" w:rsidRDefault="00026C68" w:rsidP="00026C68">
    <w:pPr>
      <w:pStyle w:val="Pieddepage"/>
      <w:jc w:val="center"/>
      <w:rPr>
        <w:rFonts w:ascii="Times New Roman" w:hAnsi="Times New Roman" w:cs="Times New Roman"/>
      </w:rPr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0D61EFB" wp14:editId="316F3FCE">
          <wp:simplePos x="0" y="0"/>
          <wp:positionH relativeFrom="column">
            <wp:posOffset>2928146</wp:posOffset>
          </wp:positionH>
          <wp:positionV relativeFrom="paragraph">
            <wp:posOffset>160020</wp:posOffset>
          </wp:positionV>
          <wp:extent cx="163773" cy="163773"/>
          <wp:effectExtent l="0" t="0" r="8255" b="8255"/>
          <wp:wrapNone/>
          <wp:docPr id="4" name="Image 4" descr="Instagram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stagram ico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73" cy="163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3EF8A4A" wp14:editId="6798F203">
          <wp:simplePos x="0" y="0"/>
          <wp:positionH relativeFrom="column">
            <wp:posOffset>2736850</wp:posOffset>
          </wp:positionH>
          <wp:positionV relativeFrom="paragraph">
            <wp:posOffset>167005</wp:posOffset>
          </wp:positionV>
          <wp:extent cx="142875" cy="142875"/>
          <wp:effectExtent l="0" t="0" r="9525" b="9525"/>
          <wp:wrapNone/>
          <wp:docPr id="3" name="Image 3" descr="Faceboo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ebook icon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199F">
      <w:rPr>
        <w:rFonts w:ascii="Times New Roman" w:hAnsi="Times New Roman" w:cs="Times New Roman"/>
        <w:b/>
      </w:rPr>
      <w:t>mairie-coutevroult</w:t>
    </w:r>
    <w:r w:rsidR="000A68C6">
      <w:rPr>
        <w:rFonts w:ascii="Times New Roman" w:hAnsi="Times New Roman" w:cs="Times New Roman"/>
        <w:b/>
      </w:rPr>
      <w:t>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DDDD" w14:textId="77777777" w:rsidR="008F1F27" w:rsidRDefault="008F1F27" w:rsidP="009D3AAC">
      <w:pPr>
        <w:spacing w:after="0" w:line="240" w:lineRule="auto"/>
      </w:pPr>
      <w:r>
        <w:separator/>
      </w:r>
    </w:p>
  </w:footnote>
  <w:footnote w:type="continuationSeparator" w:id="0">
    <w:p w14:paraId="40EF206F" w14:textId="77777777" w:rsidR="008F1F27" w:rsidRDefault="008F1F27" w:rsidP="009D3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8103C" w14:textId="77777777" w:rsidR="009D3AAC" w:rsidRDefault="009D3AAC" w:rsidP="00612B93">
    <w:pPr>
      <w:pStyle w:val="En-tte"/>
      <w:jc w:val="center"/>
    </w:pPr>
    <w:r>
      <w:rPr>
        <w:noProof/>
        <w:lang w:eastAsia="fr-FR"/>
      </w:rPr>
      <w:drawing>
        <wp:inline distT="0" distB="0" distL="0" distR="0" wp14:anchorId="21DDADB8" wp14:editId="505E28D6">
          <wp:extent cx="4382219" cy="110956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UTEVROUL_BLEU-BRONZ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2219" cy="110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5D72"/>
    <w:multiLevelType w:val="hybridMultilevel"/>
    <w:tmpl w:val="37F4F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1A1E"/>
    <w:multiLevelType w:val="hybridMultilevel"/>
    <w:tmpl w:val="45F660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505DA"/>
    <w:multiLevelType w:val="hybridMultilevel"/>
    <w:tmpl w:val="BF54A828"/>
    <w:lvl w:ilvl="0" w:tplc="4DCC174A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D5936"/>
    <w:multiLevelType w:val="hybridMultilevel"/>
    <w:tmpl w:val="A02E839C"/>
    <w:lvl w:ilvl="0" w:tplc="7C6E13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44997"/>
    <w:multiLevelType w:val="hybridMultilevel"/>
    <w:tmpl w:val="67FE15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6679D"/>
    <w:multiLevelType w:val="hybridMultilevel"/>
    <w:tmpl w:val="455ADF68"/>
    <w:lvl w:ilvl="0" w:tplc="410A875C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406862">
    <w:abstractNumId w:val="3"/>
  </w:num>
  <w:num w:numId="2" w16cid:durableId="613825079">
    <w:abstractNumId w:val="2"/>
  </w:num>
  <w:num w:numId="3" w16cid:durableId="2093357767">
    <w:abstractNumId w:val="5"/>
  </w:num>
  <w:num w:numId="4" w16cid:durableId="1340811813">
    <w:abstractNumId w:val="0"/>
  </w:num>
  <w:num w:numId="5" w16cid:durableId="1345479446">
    <w:abstractNumId w:val="1"/>
  </w:num>
  <w:num w:numId="6" w16cid:durableId="648170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AC"/>
    <w:rsid w:val="00003642"/>
    <w:rsid w:val="00005339"/>
    <w:rsid w:val="00011447"/>
    <w:rsid w:val="0002473F"/>
    <w:rsid w:val="00026C68"/>
    <w:rsid w:val="00027451"/>
    <w:rsid w:val="00045E6E"/>
    <w:rsid w:val="00050E5D"/>
    <w:rsid w:val="000513EA"/>
    <w:rsid w:val="000669FB"/>
    <w:rsid w:val="00084546"/>
    <w:rsid w:val="00085D9E"/>
    <w:rsid w:val="00090464"/>
    <w:rsid w:val="000A68C6"/>
    <w:rsid w:val="000D48DD"/>
    <w:rsid w:val="000E7182"/>
    <w:rsid w:val="000E7965"/>
    <w:rsid w:val="000F0AD9"/>
    <w:rsid w:val="000F2FFC"/>
    <w:rsid w:val="001023C3"/>
    <w:rsid w:val="00126D9A"/>
    <w:rsid w:val="00186950"/>
    <w:rsid w:val="0019451E"/>
    <w:rsid w:val="001A5AFA"/>
    <w:rsid w:val="001C3AD8"/>
    <w:rsid w:val="001E1595"/>
    <w:rsid w:val="00206ACE"/>
    <w:rsid w:val="00216CBA"/>
    <w:rsid w:val="0024612D"/>
    <w:rsid w:val="00282B8C"/>
    <w:rsid w:val="002C6AD1"/>
    <w:rsid w:val="002D5BAC"/>
    <w:rsid w:val="002E2125"/>
    <w:rsid w:val="002F0045"/>
    <w:rsid w:val="002F2980"/>
    <w:rsid w:val="002F5D00"/>
    <w:rsid w:val="002F5F0B"/>
    <w:rsid w:val="00323942"/>
    <w:rsid w:val="00354BC2"/>
    <w:rsid w:val="00355D01"/>
    <w:rsid w:val="00365B40"/>
    <w:rsid w:val="0037078E"/>
    <w:rsid w:val="00372B58"/>
    <w:rsid w:val="00384B1B"/>
    <w:rsid w:val="003940B6"/>
    <w:rsid w:val="003A34E0"/>
    <w:rsid w:val="003B3F34"/>
    <w:rsid w:val="003B7A0F"/>
    <w:rsid w:val="003C7744"/>
    <w:rsid w:val="003E6CF2"/>
    <w:rsid w:val="0040342C"/>
    <w:rsid w:val="00405919"/>
    <w:rsid w:val="004112B3"/>
    <w:rsid w:val="00430590"/>
    <w:rsid w:val="00471195"/>
    <w:rsid w:val="004751B5"/>
    <w:rsid w:val="00477F77"/>
    <w:rsid w:val="004858A8"/>
    <w:rsid w:val="00497AD4"/>
    <w:rsid w:val="004C0730"/>
    <w:rsid w:val="004E28E2"/>
    <w:rsid w:val="004E6C78"/>
    <w:rsid w:val="004E772D"/>
    <w:rsid w:val="004F4F4E"/>
    <w:rsid w:val="00500BBD"/>
    <w:rsid w:val="005058CE"/>
    <w:rsid w:val="0052536A"/>
    <w:rsid w:val="00550085"/>
    <w:rsid w:val="00580186"/>
    <w:rsid w:val="005A027C"/>
    <w:rsid w:val="005D62FD"/>
    <w:rsid w:val="00607773"/>
    <w:rsid w:val="00612B93"/>
    <w:rsid w:val="00630B1C"/>
    <w:rsid w:val="006500F1"/>
    <w:rsid w:val="00652CB8"/>
    <w:rsid w:val="00673AEF"/>
    <w:rsid w:val="00673C87"/>
    <w:rsid w:val="00686701"/>
    <w:rsid w:val="00693B4E"/>
    <w:rsid w:val="006943C0"/>
    <w:rsid w:val="006A0DB6"/>
    <w:rsid w:val="006C4279"/>
    <w:rsid w:val="006D1835"/>
    <w:rsid w:val="006D42C6"/>
    <w:rsid w:val="006E028F"/>
    <w:rsid w:val="006F2EA3"/>
    <w:rsid w:val="00714A93"/>
    <w:rsid w:val="007326A1"/>
    <w:rsid w:val="00737876"/>
    <w:rsid w:val="00764D75"/>
    <w:rsid w:val="00770ADA"/>
    <w:rsid w:val="007A1EA0"/>
    <w:rsid w:val="007A5221"/>
    <w:rsid w:val="007A7D81"/>
    <w:rsid w:val="007B7BAB"/>
    <w:rsid w:val="007C3094"/>
    <w:rsid w:val="007D3C75"/>
    <w:rsid w:val="007E7E7A"/>
    <w:rsid w:val="00800B10"/>
    <w:rsid w:val="008323BB"/>
    <w:rsid w:val="00867D43"/>
    <w:rsid w:val="008B1703"/>
    <w:rsid w:val="008B78F9"/>
    <w:rsid w:val="008E0977"/>
    <w:rsid w:val="008E67BA"/>
    <w:rsid w:val="008F1F27"/>
    <w:rsid w:val="008F38FB"/>
    <w:rsid w:val="008F6E12"/>
    <w:rsid w:val="008F7BE1"/>
    <w:rsid w:val="00946F16"/>
    <w:rsid w:val="00973FC1"/>
    <w:rsid w:val="00975C57"/>
    <w:rsid w:val="009B463F"/>
    <w:rsid w:val="009B7F2D"/>
    <w:rsid w:val="009C6417"/>
    <w:rsid w:val="009D3AAC"/>
    <w:rsid w:val="00A1760B"/>
    <w:rsid w:val="00A221FC"/>
    <w:rsid w:val="00A316D9"/>
    <w:rsid w:val="00A700CE"/>
    <w:rsid w:val="00A75419"/>
    <w:rsid w:val="00A81713"/>
    <w:rsid w:val="00A84C36"/>
    <w:rsid w:val="00A84E75"/>
    <w:rsid w:val="00A93F08"/>
    <w:rsid w:val="00AD417E"/>
    <w:rsid w:val="00B31177"/>
    <w:rsid w:val="00B33C66"/>
    <w:rsid w:val="00B55778"/>
    <w:rsid w:val="00B6242A"/>
    <w:rsid w:val="00B62950"/>
    <w:rsid w:val="00B63960"/>
    <w:rsid w:val="00B8241C"/>
    <w:rsid w:val="00B9098C"/>
    <w:rsid w:val="00BC6E6D"/>
    <w:rsid w:val="00BD35D9"/>
    <w:rsid w:val="00C04A98"/>
    <w:rsid w:val="00C10D9A"/>
    <w:rsid w:val="00C53C10"/>
    <w:rsid w:val="00C82BB8"/>
    <w:rsid w:val="00CA61E1"/>
    <w:rsid w:val="00CB3AB2"/>
    <w:rsid w:val="00D0230E"/>
    <w:rsid w:val="00D31E25"/>
    <w:rsid w:val="00D45FDB"/>
    <w:rsid w:val="00D67C3E"/>
    <w:rsid w:val="00D703C2"/>
    <w:rsid w:val="00D71509"/>
    <w:rsid w:val="00DA721E"/>
    <w:rsid w:val="00DC6145"/>
    <w:rsid w:val="00DE4F09"/>
    <w:rsid w:val="00DF2086"/>
    <w:rsid w:val="00E14516"/>
    <w:rsid w:val="00E54F6F"/>
    <w:rsid w:val="00E62E50"/>
    <w:rsid w:val="00E71C1A"/>
    <w:rsid w:val="00E71D55"/>
    <w:rsid w:val="00E86A23"/>
    <w:rsid w:val="00EA5494"/>
    <w:rsid w:val="00EA5D7B"/>
    <w:rsid w:val="00EB619F"/>
    <w:rsid w:val="00EE27AE"/>
    <w:rsid w:val="00EF16FF"/>
    <w:rsid w:val="00EF17AC"/>
    <w:rsid w:val="00EF5584"/>
    <w:rsid w:val="00F0013C"/>
    <w:rsid w:val="00F01409"/>
    <w:rsid w:val="00F41D15"/>
    <w:rsid w:val="00F57166"/>
    <w:rsid w:val="00F6199F"/>
    <w:rsid w:val="00F745A8"/>
    <w:rsid w:val="00F87BB2"/>
    <w:rsid w:val="00F93A70"/>
    <w:rsid w:val="00FB171B"/>
    <w:rsid w:val="00FB2922"/>
    <w:rsid w:val="00FC6419"/>
    <w:rsid w:val="00FD5EFC"/>
    <w:rsid w:val="00FE777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B5C0ADF"/>
  <w15:docId w15:val="{84972E9E-8533-4CF3-9252-10C2A11B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0A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945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3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3A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9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9D3AAC"/>
  </w:style>
  <w:style w:type="paragraph" w:styleId="Pieddepage">
    <w:name w:val="footer"/>
    <w:basedOn w:val="Normal"/>
    <w:link w:val="PieddepageCar"/>
    <w:uiPriority w:val="99"/>
    <w:unhideWhenUsed/>
    <w:rsid w:val="009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3AAC"/>
  </w:style>
  <w:style w:type="character" w:styleId="Lienhypertexte">
    <w:name w:val="Hyperlink"/>
    <w:basedOn w:val="Policepardfaut"/>
    <w:uiPriority w:val="99"/>
    <w:unhideWhenUsed/>
    <w:rsid w:val="009D3AAC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612B93"/>
    <w:rPr>
      <w:b/>
      <w:bCs/>
    </w:rPr>
  </w:style>
  <w:style w:type="paragraph" w:styleId="Paragraphedeliste">
    <w:name w:val="List Paragraph"/>
    <w:basedOn w:val="Normal"/>
    <w:uiPriority w:val="34"/>
    <w:qFormat/>
    <w:rsid w:val="00E71C1A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EF16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59"/>
    <w:rsid w:val="008B7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8B78F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F0A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ansinterligne">
    <w:name w:val="No Spacing"/>
    <w:link w:val="SansinterligneCar"/>
    <w:uiPriority w:val="1"/>
    <w:qFormat/>
    <w:rsid w:val="002F5D0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F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rzxr">
    <w:name w:val="lrzxr"/>
    <w:basedOn w:val="Policepardfaut"/>
    <w:rsid w:val="009B463F"/>
  </w:style>
  <w:style w:type="paragraph" w:customStyle="1" w:styleId="footer-coord-item">
    <w:name w:val="footer-coord-item"/>
    <w:basedOn w:val="Normal"/>
    <w:rsid w:val="00354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B6295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62950"/>
    <w:rPr>
      <w:rFonts w:ascii="Calibri" w:hAnsi="Calibri"/>
      <w:szCs w:val="21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9098C"/>
  </w:style>
  <w:style w:type="character" w:customStyle="1" w:styleId="Titre2Car">
    <w:name w:val="Titre 2 Car"/>
    <w:basedOn w:val="Policepardfaut"/>
    <w:link w:val="Titre2"/>
    <w:uiPriority w:val="9"/>
    <w:rsid w:val="001945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effe.ta-melun@juradm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mailto:coutevroult@wanado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2670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Céline</dc:creator>
  <cp:lastModifiedBy>MAIRIE COUTEVROULT</cp:lastModifiedBy>
  <cp:revision>11</cp:revision>
  <cp:lastPrinted>2024-05-04T09:05:00Z</cp:lastPrinted>
  <dcterms:created xsi:type="dcterms:W3CDTF">2024-05-04T08:52:00Z</dcterms:created>
  <dcterms:modified xsi:type="dcterms:W3CDTF">2025-11-18T13:05:00Z</dcterms:modified>
</cp:coreProperties>
</file>